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:u w:val="none"/>
          <w:lang w:val="en-US" w:eastAsia="zh-Hans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:u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4"/>
          <w:szCs w:val="44"/>
          <w:u w:val="none"/>
          <w:lang w:val="en-US" w:eastAsia="zh-Hans"/>
          <w14:textFill>
            <w14:solidFill>
              <w14:schemeClr w14:val="tx1"/>
            </w14:solidFill>
          </w14:textFill>
        </w:rPr>
        <w:t>大力支持平台经济规范健康发展八条政策措施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为认真贯彻落实中央</w:t>
      </w:r>
      <w:r>
        <w:rPr>
          <w:rFonts w:hint="default" w:ascii="Times New Roman" w:hAnsi="Times New Roman" w:eastAsia="方正仿宋_GBK" w:cs="方正仿宋_GBK"/>
          <w:color w:val="000000" w:themeColor="text1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市委经济工作会议精神，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根据《国务院办公厅关于促进平台经济规范健康发展的指导意见》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国办发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〔2019〕38号</w:t>
      </w:r>
      <w:r>
        <w:rPr>
          <w:rFonts w:hint="default" w:ascii="Times New Roman" w:hAnsi="Times New Roman" w:eastAsia="方正仿宋_GBK" w:cs="方正仿宋_GBK"/>
          <w:color w:val="000000" w:themeColor="text1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《关于推动平台经济规范健康持续发展的若干意见</w:t>
      </w:r>
      <w:r>
        <w:rPr>
          <w:rFonts w:hint="default" w:ascii="Times New Roman" w:hAnsi="Times New Roman" w:eastAsia="方正仿宋_GBK" w:cs="方正仿宋_GBK"/>
          <w:color w:val="000000" w:themeColor="text1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推动落地落细“提信心、稳增长、强主体”政策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要求，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支持平台企业在引领发展、创造就业、国际竞争中大显身手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结合实际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制定我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市大力支持平台经济规范健康发展八条政策措施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如下。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税收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税务服务。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探索开展为平台企业以及平台内经营的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个体工商户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自由职业者、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其共生中小微企业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提供代开增值税电子发票等适应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平台经济发展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特点的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税务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服务。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对增值税小规模纳税人、小型微利企业和个体工商户减按</w:t>
      </w:r>
      <w:r>
        <w:rPr>
          <w:rFonts w:hint="default" w:ascii="Times New Roman Regular" w:hAnsi="Times New Roman Regular" w:eastAsia="方正仿宋_GBK" w:cs="Times New Roman Regular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50%征收资源税、城市维护建设税、房产税、城镇土地使用税、印花税（不含证券交易印花税）、耕地占用税和教育费附加、地方教育附加。</w:t>
      </w:r>
      <w:r>
        <w:rPr>
          <w:rFonts w:hint="default" w:ascii="Times New Roman Regular" w:hAnsi="Times New Roman Regular" w:eastAsia="方正仿宋_GBK" w:cs="Times New Roman Regular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 Regular" w:hAnsi="Times New Roman Regular" w:eastAsia="方正仿宋_GBK" w:cs="Times New Roman Regular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责任单位：重庆市税务局、市财政局</w:t>
      </w:r>
      <w:r>
        <w:rPr>
          <w:rFonts w:hint="default" w:ascii="Times New Roman Regular" w:hAnsi="Times New Roman Regular" w:eastAsia="方正仿宋_GBK" w:cs="Times New Roman Regular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textAlignment w:val="auto"/>
        <w:outlineLvl w:val="9"/>
        <w:rPr>
          <w:rFonts w:hint="eastAsia" w:eastAsia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Style w:val="7"/>
          <w:rFonts w:hint="default" w:ascii="方正黑体_GBK" w:hAnsi="方正黑体_GBK" w:eastAsia="方正黑体_GBK" w:cs="方正黑体_GBK"/>
          <w:b w:val="0"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落实税收优惠政策。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支持平台企业中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贡献突出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符合条件的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从业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人员申报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英才计划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”，给予其落户、创新创业、子女入学、住房、医疗等方面的支持和保障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对符合西部地区鼓励类产业目录的平台企业，按照相关政策规定，减按</w:t>
      </w:r>
      <w:r>
        <w:rPr>
          <w:rFonts w:hint="default"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15%</w:t>
      </w:r>
      <w:r>
        <w:rPr>
          <w:rFonts w:hint="default" w:eastAsia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的税率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征收企业所得税</w:t>
      </w:r>
      <w:r>
        <w:rPr>
          <w:rFonts w:hint="default" w:eastAsia="方正仿宋_GBK"/>
          <w:color w:val="000000" w:themeColor="text1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对批发零售、住宿餐饮、居民服务、会展、文化和旅游业中小微企业（含个体工商户），延长失业保险降费</w:t>
      </w:r>
      <w:r>
        <w:rPr>
          <w:rFonts w:hint="default" w:eastAsia="方正仿宋_GBK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_GBK" w:asciiTheme="minorHAnsi" w:hAnsiTheme="minorHAnsi" w:cstheme="minorBidi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（责任单位：</w:t>
      </w:r>
      <w:r>
        <w:rPr>
          <w:rFonts w:hint="default" w:eastAsia="方正仿宋_GBK" w:asciiTheme="minorHAnsi" w:hAnsiTheme="minorHAnsi" w:cstheme="minorBidi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重庆市税务局、人行重庆营管部、市发展改革委、重庆银保监局、市金融监管局、市人力社保局、市大数据发展局，各区县政府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优化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融资环境。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鼓励金融机构针对平台企业特点创新金融产品和服务方式，开展产业链融资、商业圈融资、企业圈融资、知识产权质押融资等创新实践，</w:t>
      </w:r>
      <w:r>
        <w:rPr>
          <w:rFonts w:hint="default" w:eastAsia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提供授信、结算等综合金融服务，并结合平台经济发展推动供应链金融业务，满足平台产业链上中小企业融资与结算需求</w:t>
      </w:r>
      <w:r>
        <w:rPr>
          <w:rFonts w:hint="default" w:eastAsia="方正仿宋_GBK"/>
          <w:color w:val="000000" w:themeColor="text1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 Regular" w:hAnsi="Times New Roman Regular" w:eastAsia="方正仿宋_GBK" w:cs="Times New Roman Regular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支持符合条件的高新技术和</w:t>
      </w:r>
      <w:r>
        <w:rPr>
          <w:rFonts w:hint="eastAsia" w:ascii="Times New Roman Regular" w:hAnsi="Times New Roman Regular" w:eastAsia="方正仿宋_GBK" w:cs="Times New Roman Regular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 Regular" w:hAnsi="Times New Roman Regular" w:eastAsia="方正仿宋_GBK" w:cs="Times New Roman Regular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专精特新</w:t>
      </w:r>
      <w:r>
        <w:rPr>
          <w:rFonts w:hint="eastAsia" w:ascii="Times New Roman Regular" w:hAnsi="Times New Roman Regular" w:eastAsia="方正仿宋_GBK" w:cs="Times New Roman Regular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 Regular" w:hAnsi="Times New Roman Regular" w:eastAsia="方正仿宋_GBK" w:cs="Times New Roman Regular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企业开展跨境融资便利化额度试点，在等值1000万美元额度内自主借用境外资金。</w:t>
      </w:r>
      <w:r>
        <w:rPr>
          <w:rFonts w:hint="eastAsia" w:eastAsia="方正仿宋_GBK" w:asciiTheme="minorHAnsi" w:hAnsiTheme="minorHAnsi" w:cstheme="minorBidi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（责任单位：</w:t>
      </w:r>
      <w:r>
        <w:rPr>
          <w:rFonts w:hint="default" w:eastAsia="方正仿宋_GBK" w:asciiTheme="minorHAnsi" w:hAnsiTheme="minorHAnsi" w:cstheme="minorBidi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人行重庆营管部、市发展改革委、重庆银保监局、市金融监管局、市人力社保局、市大数据发展局，各区县政府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Hans" w:bidi="ar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eastAsia="zh-Hans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Hans" w:bidi="ar"/>
          <w14:textFill>
            <w14:solidFill>
              <w14:schemeClr w14:val="tx1"/>
            </w14:solidFill>
          </w14:textFill>
        </w:rPr>
        <w:t>鼓励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利用互联网平台开展促消费活动。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鼓励区县统筹财政资金，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Hans" w:bidi="ar"/>
          <w14:textFill>
            <w14:solidFill>
              <w14:schemeClr w14:val="tx1"/>
            </w14:solidFill>
          </w14:textFill>
        </w:rPr>
        <w:t>利用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各类平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Hans" w:bidi="ar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以发放消费券等方式开展消费促进活动，重点投向文化、旅游、零售、餐饮、住宿、体育等行业，促进市场主体发展。（责任单位：市商务委、市发展改革委、市文化旅游委，各区县政府）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支持打造应用场景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鼓励各部门区县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、企事业单位、社会各界开放应用场景，定期征集发布应用场景清单，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积极支持平台经济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参与智慧城市应用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场景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对场景建设业主单位（政务信息化项目除外）和招商落地力度大、项目建设成效好的场景建设供给单位给予奖补支持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。（责任单位：市大数据发展局、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市经济信息委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u w:val="none"/>
          <w:lang w:eastAsia="zh-Hans"/>
          <w14:textFill>
            <w14:solidFill>
              <w14:schemeClr w14:val="tx1"/>
            </w14:solidFill>
          </w14:textFill>
        </w:rPr>
        <w:t>市发展改革委、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市级有关部门，各区县政府）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方正黑体_GBK" w:hAnsi="方正黑体_GBK" w:eastAsia="方正黑体_GBK" w:cs="方正黑体_GBK"/>
          <w:b w:val="0"/>
          <w:color w:val="000000" w:themeColor="text1"/>
          <w:kern w:val="2"/>
          <w:sz w:val="32"/>
          <w:szCs w:val="32"/>
          <w:highlight w:val="none"/>
          <w:u w:val="none"/>
          <w:lang w:eastAsia="zh-Hans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黑体_GBK" w:hAnsi="方正黑体_GBK" w:eastAsia="方正黑体_GBK" w:cs="方正黑体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强化数据</w:t>
      </w:r>
      <w:r>
        <w:rPr>
          <w:rFonts w:hint="eastAsia" w:ascii="方正黑体_GBK" w:hAnsi="方正黑体_GBK" w:eastAsia="方正黑体_GBK" w:cs="方正黑体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供给能力</w:t>
      </w:r>
      <w:r>
        <w:rPr>
          <w:rFonts w:hint="eastAsia" w:ascii="方正黑体_GBK" w:hAnsi="方正黑体_GBK" w:eastAsia="方正黑体_GBK" w:cs="方正黑体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加强公共数据与平台数据融合创新，畅通政企数据双向流通机制</w:t>
      </w:r>
      <w:r>
        <w:rPr>
          <w:rFonts w:hint="default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支持平台企业基于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公共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数据和社会数据融合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开发数据产品</w:t>
      </w:r>
      <w:r>
        <w:rPr>
          <w:rFonts w:hint="default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推动数据资源政用、商用、民用</w:t>
      </w:r>
      <w:r>
        <w:rPr>
          <w:rFonts w:hint="default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引导互联网平台企业发挥带动作用，促进与中小微企业双向公平授权，共同合理使用数据，赋能中小微企业数字化转型。</w:t>
      </w:r>
      <w:r>
        <w:rPr>
          <w:rFonts w:hint="default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市大数据发展局</w:t>
      </w:r>
      <w:r>
        <w:rPr>
          <w:rFonts w:hint="default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市经济信息委</w:t>
      </w:r>
      <w:r>
        <w:rPr>
          <w:rFonts w:hint="default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市商务委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各区县政府）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方正黑体_GBK" w:hAnsi="方正黑体_GBK" w:eastAsia="方正黑体_GBK" w:cs="方正黑体_GBK"/>
          <w:b w:val="0"/>
          <w:color w:val="000000" w:themeColor="text1"/>
          <w:kern w:val="2"/>
          <w:sz w:val="32"/>
          <w:szCs w:val="32"/>
          <w:highlight w:val="none"/>
          <w:u w:val="none"/>
          <w:lang w:eastAsia="zh-Hans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黑体_GBK" w:hAnsi="方正黑体_GBK" w:eastAsia="方正黑体_GBK" w:cs="方正黑体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鼓励引领发展</w:t>
      </w:r>
      <w:r>
        <w:rPr>
          <w:rFonts w:hint="default" w:ascii="方正黑体_GBK" w:hAnsi="方正黑体_GBK" w:eastAsia="方正黑体_GBK" w:cs="方正黑体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鼓励平台企业加快人工智能、云计算、区块链、操作系统、处理器领域技术研发突破。</w:t>
      </w:r>
      <w:r>
        <w:rPr>
          <w:rFonts w:hint="default"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推动技术成果场景化应用，赋能平台经济和平台企业。鼓励创新型领军企业联合行业上下游牵头组建创新联合体，积极承担市级科技创新重大研发项目。市级对每个重大研发项目给予1000万—3000万元支持。对特别重大的专项任务，可</w:t>
      </w:r>
      <w:r>
        <w:rPr>
          <w:rFonts w:hint="eastAsia"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一事一议</w:t>
      </w:r>
      <w:r>
        <w:rPr>
          <w:rFonts w:hint="eastAsia"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:u w:val="none"/>
          <w:lang w:val="en-US" w:eastAsia="zh-Hans"/>
          <w14:textFill>
            <w14:solidFill>
              <w14:schemeClr w14:val="tx1"/>
            </w14:solidFill>
          </w14:textFill>
        </w:rPr>
        <w:t>给予支持。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支持研发投入大</w:t>
      </w:r>
      <w:r>
        <w:rPr>
          <w:rFonts w:hint="default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成效明显的平台企业申报全市大数据产业发展专项资金</w:t>
      </w:r>
      <w:r>
        <w:rPr>
          <w:rFonts w:hint="default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。（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市大数据发展局</w:t>
      </w:r>
      <w:r>
        <w:rPr>
          <w:rFonts w:hint="default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市科技局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、市财政局、市经济信息委</w:t>
      </w:r>
      <w:r>
        <w:rPr>
          <w:rFonts w:hint="default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各区县政府）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发挥示范作用。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择优评定一批平台规模较大、经济效益良好、创新示范性强的市级平台示范企业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Hans" w:bidi="ar"/>
          <w14:textFill>
            <w14:solidFill>
              <w14:schemeClr w14:val="tx1"/>
            </w14:solidFill>
          </w14:textFill>
        </w:rPr>
        <w:t>批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特色平台经济集聚区和示范区，推动平台经济在有条件地区率先突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破，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在要素整合、科技支撑、品牌建设等方面发挥示范带动效应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（责任单位：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市大数据发展局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市市场监管局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市商务委、市文化旅游委、市发展改革委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市经济信息委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，各区县政府）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42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61B03"/>
    <w:multiLevelType w:val="multilevel"/>
    <w:tmpl w:val="60961B03"/>
    <w:lvl w:ilvl="0" w:tentative="0">
      <w:start w:val="1"/>
      <w:numFmt w:val="chineseCountingThousand"/>
      <w:pStyle w:val="2"/>
      <w:suff w:val="space"/>
      <w:lvlText w:val="第%1章"/>
      <w:lvlJc w:val="center"/>
      <w:pPr>
        <w:ind w:left="142" w:firstLine="0"/>
      </w:pPr>
      <w:rPr>
        <w:rFonts w:hint="eastAsia" w:ascii="黑体" w:hAnsi="黑体" w:eastAsia="黑体"/>
        <w:b/>
        <w:i w:val="0"/>
        <w:sz w:val="36"/>
      </w:rPr>
    </w:lvl>
    <w:lvl w:ilvl="1" w:tentative="0">
      <w:start w:val="1"/>
      <w:numFmt w:val="decimal"/>
      <w:isLgl/>
      <w:suff w:val="space"/>
      <w:lvlText w:val="%2"/>
      <w:lvlJc w:val="left"/>
      <w:pPr>
        <w:ind w:left="142" w:firstLine="0"/>
      </w:pPr>
      <w:rPr>
        <w:rFonts w:hint="eastAsia" w:ascii="Times New Roman" w:hAnsi="Times New Roman" w:eastAsia="仿宋_GB2312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30"/>
        <w:u w:val="none"/>
        <w:shd w:val="clear" w:color="auto" w:fill="auto"/>
        <w:vertAlign w:val="baseline"/>
      </w:rPr>
    </w:lvl>
    <w:lvl w:ilvl="2" w:tentative="0">
      <w:start w:val="1"/>
      <w:numFmt w:val="decimal"/>
      <w:isLgl/>
      <w:suff w:val="space"/>
      <w:lvlText w:val="%2.%3"/>
      <w:lvlJc w:val="left"/>
      <w:pPr>
        <w:ind w:left="142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2.%3.%4"/>
      <w:lvlJc w:val="left"/>
      <w:pPr>
        <w:ind w:left="142" w:firstLine="0"/>
      </w:pPr>
      <w:rPr>
        <w:rFonts w:hint="eastAsia" w:ascii="Times New Roman" w:hAnsi="Times New Roman" w:eastAsia="仿宋_GB2312"/>
        <w:b/>
        <w:i w:val="0"/>
        <w:sz w:val="28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993" w:firstLine="0"/>
      </w:pPr>
      <w:rPr>
        <w:rFonts w:hint="eastAsia" w:ascii="Times New Roman" w:hAnsi="Times New Roman" w:eastAsia="仿宋_GB2312"/>
        <w:b/>
        <w:i w:val="0"/>
        <w:color w:val="auto"/>
        <w:sz w:val="28"/>
        <w:lang w:val="en-US"/>
      </w:rPr>
    </w:lvl>
    <w:lvl w:ilvl="5" w:tentative="0">
      <w:start w:val="1"/>
      <w:numFmt w:val="decimal"/>
      <w:lvlText w:val="%2.%3.%4.%5.%6"/>
      <w:lvlJc w:val="left"/>
      <w:pPr>
        <w:tabs>
          <w:tab w:val="left" w:pos="142"/>
        </w:tabs>
        <w:ind w:left="142" w:firstLine="0"/>
      </w:pPr>
      <w:rPr>
        <w:rFonts w:hint="eastAsia" w:ascii="Times New Roman" w:hAnsi="Times New Roman" w:eastAsia="仿宋_GB2312"/>
        <w:b/>
        <w:i w:val="0"/>
        <w:sz w:val="24"/>
      </w:rPr>
    </w:lvl>
    <w:lvl w:ilvl="6" w:tentative="0">
      <w:start w:val="1"/>
      <w:numFmt w:val="decimal"/>
      <w:lvlText w:val="%2.%3.%4.%5.%7"/>
      <w:lvlJc w:val="left"/>
      <w:pPr>
        <w:tabs>
          <w:tab w:val="left" w:pos="142"/>
        </w:tabs>
        <w:ind w:left="142" w:firstLine="0"/>
      </w:pPr>
      <w:rPr>
        <w:rFonts w:hint="eastAsia" w:ascii="Times New Roman" w:hAnsi="Times New Roman" w:eastAsia="仿宋_GB2312"/>
        <w:b/>
        <w:i w:val="0"/>
        <w:sz w:val="24"/>
      </w:rPr>
    </w:lvl>
    <w:lvl w:ilvl="7" w:tentative="0">
      <w:start w:val="1"/>
      <w:numFmt w:val="decimal"/>
      <w:lvlRestart w:val="2"/>
      <w:suff w:val="nothing"/>
      <w:lvlText w:val="表%2.%3-%8   "/>
      <w:lvlJc w:val="left"/>
      <w:pPr>
        <w:ind w:left="142" w:firstLine="0"/>
      </w:pPr>
      <w:rPr>
        <w:rFonts w:hint="eastAsia" w:ascii="Times New Roman" w:hAnsi="Times New Roman" w:eastAsia="仿宋_GB2312"/>
        <w:b w:val="0"/>
        <w:sz w:val="21"/>
      </w:rPr>
    </w:lvl>
    <w:lvl w:ilvl="8" w:tentative="0">
      <w:start w:val="1"/>
      <w:numFmt w:val="decimal"/>
      <w:lvlRestart w:val="2"/>
      <w:isLgl/>
      <w:suff w:val="nothing"/>
      <w:lvlText w:val="图%1.%2 -%9   "/>
      <w:lvlJc w:val="left"/>
      <w:pPr>
        <w:ind w:left="2865" w:hanging="170"/>
      </w:pPr>
      <w:rPr>
        <w:rFonts w:hint="eastAsia" w:ascii="Times New Roman" w:hAnsi="Times New Roman" w:eastAsia="华文仿宋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DADA"/>
    <w:rsid w:val="2FF924C1"/>
    <w:rsid w:val="466C01BC"/>
    <w:rsid w:val="47EF6D18"/>
    <w:rsid w:val="77AD8C80"/>
    <w:rsid w:val="7DF7DADA"/>
    <w:rsid w:val="7DF84266"/>
    <w:rsid w:val="7F9FF964"/>
    <w:rsid w:val="DB5F1C92"/>
    <w:rsid w:val="DF5FE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ind w:firstLineChars="0"/>
      <w:jc w:val="center"/>
      <w:outlineLvl w:val="0"/>
    </w:pPr>
    <w:rPr>
      <w:rFonts w:ascii="黑体" w:hAnsi="黑体" w:eastAsia="方正小标宋_GBK"/>
      <w:bCs/>
      <w:kern w:val="0"/>
      <w:sz w:val="44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2023-02-13T16:29:00Z</dcterms:created>
  <dc:creator>R</dc:creator>
  <cp:lastModifiedBy>75207</cp:lastModifiedBy>
  <dcterms:modified xsi:type="dcterms:W3CDTF">2023-02-13T11:25:52Z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A854B4F56648226FD1F4E963490975BD</vt:lpwstr>
  </property>
</Properties>
</file>