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bookmarkStart w:id="1" w:name="mj"/>
      <w:bookmarkEnd w:id="1"/>
      <w:bookmarkStart w:id="2" w:name="h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bookmarkStart w:id="3" w:name="nd"/>
      <w:bookmarkEnd w:id="3"/>
      <w:bookmarkStart w:id="4" w:name="fwz"/>
      <w:bookmarkEnd w:id="4"/>
      <w:bookmarkStart w:id="5" w:name="bh"/>
      <w:bookmarkEnd w:id="5"/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渝中府办〔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202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〕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关于印发《重庆市渝中区软件和信息服务业“满天星”行动计划（2022—2025年）》的通知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Times New Roman" w:hAnsi="Times New Roman" w:cs="Times New Roman"/>
          <w:color w:val="auto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区级国家机关各部门，各管委会、街道办事处，有关单位：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《重庆市渝中区软件和信息服务业“满天星”行动计划（2022—2025年）》已经十三届区委第26次常委会会议、十四届区政府第26次常务会议审议通过，现印发给你们，请认真抓好贯彻落实。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Times New Roman" w:hAnsi="Times New Roman" w:cs="Times New Roman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992" w:firstLineChars="156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2022年9月26日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8"/>
          <w:szCs w:val="48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小标宋_GBK" w:cs="Times New Roman"/>
          <w:color w:val="auto"/>
          <w:sz w:val="48"/>
          <w:szCs w:val="48"/>
        </w:rPr>
      </w:pPr>
      <w:r>
        <w:rPr>
          <w:rFonts w:ascii="Times New Roman" w:hAnsi="Times New Roman" w:eastAsia="方正小标宋_GBK" w:cs="Times New Roman"/>
          <w:color w:val="auto"/>
          <w:sz w:val="48"/>
          <w:szCs w:val="4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重庆市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渝中区软件和信息服务业“满天星”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行动计划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（2022—2025年）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为贯彻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重庆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市第六次党代会精神，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《重庆市软件产业高质量发展“十四五”规划》《重庆市软件和信息服务业“满天星”行动计划》，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促进渝中区产业转型升级，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有效盘活存量楼宇，增强创新创业活力，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加快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形成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全域发展、软件和信息服务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企业“满天星”发展态势，加速实现“楼宇用起来、人气聚起来、产业兴起来”，结合渝中实际，特制定本行动计划。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  <w:t>一、发展目标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推动产业链、创新链、要素链和价值链“四链”同构、叠加融通、创新发展，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全域建设“重庆软件天地”，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打造软件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产业高地、技术高地、人才高地、制度创新高地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到2025年，全区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核心载体突破100万平方米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培育软件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公共服务平台10个以上，新增软件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企业2500家，软件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从业人员超10万人，软件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业务收入超1000亿元，助力重庆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打造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中国软件特色名城，助推成渝地区打造中国软件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“第四极”。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（一）统筹谋划产业布局。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1.聚焦重点区域。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坚持整体推进与重点突破相结合，按照“一核多点”构建渝中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发展格局，即以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总部城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数字经济产业园、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化龙桥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国际商务区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片区为“核”，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拓展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上清寺、大溪沟、两路口、解放碑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及朝天门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、下半城片区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，全域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。相关片区要立足资源禀赋，利用存量楼宇加速集聚软件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企业和人才，打造一批集约化、特色化、现代化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集群。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牵头单位：区经济信息委；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各园区管委会（含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化龙桥国际商务区开发建设委员会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时代天街商圈管委会，下同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、各街道办事处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重庆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总部城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数字经济产业园、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化龙桥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国际商务区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作为全区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发展“排头兵”，加快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战略性新兴产业及高端信息技术服务业。其中，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重庆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总部城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数字经济产业园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充分发挥重庆市重点关键产业园（工业软件方向）、重庆市区块链数字经济产业园、国家级涉密专用信息设备应用示范基地、重庆工业设计总部基地资源优势，集中发展研发设计类、生产控制类、经营管理类和工业嵌入式软件为重点的工业软件产业，底层技术开发、平台和应用服务为重点的区块链产业，基础软件、信息安全软硬件和信息安全服务为重点的信创产业，以及工业设计、集成电路设计及延伸配套产业；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化龙桥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国际商务区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重点发展短视频平台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互联网平台服务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软件服务外包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信息技术服务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信息安全服务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数据服务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新兴技术服务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大石化新区管委会、化龙桥国际商务区开发建设委员会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石油路街道办事处（时代天街商圈管委会）、化龙桥街道办事处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上清寺片区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依托互联网产业园资源优势，重点发展信息技术管理咨询、信息技术培训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信息技术咨询服务，动漫、游戏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数字内容，电商、直播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数字营销服务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及物联网技术支持服务。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电创园管委会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上清寺街道办事处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大溪沟片区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以重庆渝欧跨境电子商务楼宇产业园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大溪沟设计创意产业园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为支撑，重点发展工业设计，电商、直播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数字营销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，跨境电商平台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互联网平台服务。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电创园管委会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大溪沟街道办事处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两路口片区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重点发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动漫、游戏、VR、元宇宙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数字内容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电商平台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互联网平台服务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运行维护服务、信息处理和存储支持服务、信息咨询服务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信息技术服务。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电创园管委会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两路口街道办事处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解放碑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及朝天门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片区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重点发展游戏设计与开发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数字内容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电商平台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互联网平台服务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金融、商贸、文旅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为特色的行业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应用软件。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解放碑CBD管委会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解放碑街道办事处、朝天门街道办事处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下半城片区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充分发挥十八梯、山城巷、湖广会馆、白象街、燕子岩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飞机码头等传统风貌区的母城文化资源优势，重点发展直播、影视、动漫、游戏、视频、元宇宙等数字文旅产业。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历史文化街区管委会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南纪门街道办事处、七星岗街道办事处、菜园坝街道办事处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2.完善产业体系。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聚焦工业软件、区块链、信创三大优势产业，大力发展数字内容、信息技术服务及其他数字产业，包括但不限于软件开发、集成电路设计、工业设计、人工智能、物联网、数据服务、互联网平台服务和新兴技术服务等，构建创新驱动、协同开放、富有竞争力的“3+X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体系。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责任单位：区委网信办、区国家保密局、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区文化旅游委、区科技局、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区大数据发展局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各园区管委会、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化龙桥国际商务区开发建设委员会）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培育壮大工业软件产业。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面向全市工业企业智能制造关键环节应用需求，重点发展研发设计类、生产控制类、经营管理类和工业嵌入式软件。在研发设计类工业软件中，重点发展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计算机辅助设计（CAD）、计算机辅助工程（CAE）、计算机辅助制造（CAM）、计算机辅助公差设计（CAT）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电子设计自动化（EDA）、产品生命周期管理（PLM）、建筑信息模型（BIM）；在生产控制类工业软件中，重点发展制造执行系统（MES）、可编程逻辑控制器（PLC）、离散控制系统（DCS）；在经营管理类工业软件中，重点发展企业资源计划（ERP）、客户关系管理（CRM）、供应链管理（SCM）；在工业嵌入式软件中，重点发展嵌入式操作系统、嵌入式中间件等基础软件及嵌入式数据库、指纹识别软件、语音识别软件等应用软件。鼓励开发高支撑价值的工业APP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大石化新区管委会）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做优做强信创产业。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重点推进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基础软件、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应用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和信息安全技术创新。在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基础软件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领域，大力发展操作系统、数据库、中间件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及基础设施即服务（IaaS）、平台即服务（PaaS）、软件即服务（SaaS）等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基础软件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；在应用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领域，重点发展办公软件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智慧城市、物联网等行业场景解决方案；在信息安全领域，重点发展信息安全硬件、信息安全软件和信息安全服务等信息安全产品，其中，信息安全硬件包括但不限于防火墙、入侵检测与防御、VPN等，信息安全软件包括但不限于身份管理与访问控制、终端安全、安全性与漏洞管理等，信息安全服务包括但不限于在计划、设计、建设、管理等过程提供安全咨询、安全运营、安全集成等服务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牵头单位：区委网信办、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大石化新区管委会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区国家保密局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优化升级区块链产业。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把握创建国家级区块链创新应用综合性试点契机，持续完善区块链“底层技术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平台服务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产业应用”链条。鼓励重点企业、科研院所加快突破分布式计算与存储、共识机制、智能合约、加密算法、跨链技术、扩展技术、隐私保护技术等区块链底层技术，探索区块链与人工智能、云计算、大数据等技术融合发展。加快建设区块链底层技术平台、跨链服务平台及区块链即服务（BaaS）平台，提供自主可控区块链技术、高性能跨链服务及节点集管理服务，降低区块链部署、运维成本。加快区块链政用、商用、民用，打造国家级区块链发展先行示范区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牵头单位：区委网信办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区大数据发展局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大石化新区管委会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创新发展数字内容产业。</w:t>
      </w:r>
      <w:r>
        <w:rPr>
          <w:rFonts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/>
        </w:rPr>
        <w:t>围绕数字内容创作、推广、内容衍生等环节，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推动数字内容产业补链成群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/>
        </w:rPr>
        <w:t>着力推动电影电视、网络视频、游戏动漫等数字内容创作产业发展；重点支持短视频平台、网络直播、社交平台等数字内容推广平台建设；鼓励发展衍生产品设计营销、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品牌授权、</w:t>
      </w:r>
      <w:r>
        <w:rPr>
          <w:rFonts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/>
        </w:rPr>
        <w:t>数字媒体资产管理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等衍生服务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同时，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面向</w:t>
      </w:r>
      <w:r>
        <w:rPr>
          <w:rFonts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/>
        </w:rPr>
        <w:t>数字内容上下游环节，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引育专业服务机构，</w:t>
      </w:r>
      <w:r>
        <w:rPr>
          <w:rFonts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/>
        </w:rPr>
        <w:t>进一步优化数字内容产业发展环境，全面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提升数字内容供给与服务能力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牵头单位：区经济信息委、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区文化旅游委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巩固提升信息技术服务产业。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围绕信息采集、存储、传递、处理及应用各环节，强化软件技术、网络技术等信息技术服务支撑。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重点发展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软件开发、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软件评测、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信息系统集成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信息技术咨询、软件服务外包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互联网搜索运营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加快发展集成电路设计、物联网技术服务、信息处理和存储支持服务、地理遥感信息服务、互联网接入及相关服务等信息技术服务产业。面向金融、商贸、文旅、大健康、专业服务等重点行业领域应用需求，推动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服务向行业应用渗透，加快信息技术服务创新，打造以融合创新为特征的信息技术服务经济新产业。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：区经济信息委）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拓展场所承载空间。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3.掌握楼宇承载能力。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全面细致摸排位置优越、交通便利、配套完善、适合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的闲置楼宇情况，建立渝中区闲置楼宇台账，精准掌握闲置楼宇建筑面积、闲置面积、可收储面积、租金水平、产权业主、楼宇业态、入驻企业情况等各类信息。提速构建渝中区闲置楼宇管理机制，探索建立数字化管理平台，准确记录、动态更新、全面掌握、智能分析渝中区闲置楼宇情况，确保闲置楼宇情况随时可查、随时可用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区发展改革委、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区招商投资局；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4.明确楼宇功能定位。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对照渝中区闲置楼宇台账，综合考虑楼宇闲置面积、租金水平、入驻企业情况等因素，按照“孵化器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加速器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特色产业园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总部基地”梯级链式体系，分级分类明确每栋楼宇的发展定位，策划每栋楼宇重点发展的产业方向。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5.加快实施收储改造。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按照“产权业主提供一批、国有公司收购一批、运营机构整租一批”的思路和方式，加快制定闲置楼宇载体收储改造计划。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把握城市更新契机，用好城市更新政策，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有序开展闲置楼宇收储改造工作，简化软件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企业入驻流程，打造“拎包入住”环境。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：区国资委）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6.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完善配套服务功能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着眼软件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人才、青年创业者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吃、住、行、游、娱、购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需求，加强楼宇周边时尚潮流元素、年轻化消费等场景供给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完善产业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楼宇生活服务功能，加快在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周边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投放、新增一批人才公寓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进一步完善教育、医疗、交通、休闲等公共服务和基础设施建设，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打造职住平衡、宜业宜居生态，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让人才和青年创业者在渝中激情工作、快乐生活。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区商务委、区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住房城市建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：区教委、区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委、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区文化旅游委、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区交通局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各园区管委会、各街道办事处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（三）强化应用场景牵引。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7.加快应用场景开放。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鼓励政府部门、国有企事业单位、重点行业开放应用场景，积极对接整合市级应用场景，按照“征集一批、开发一批、拓展一批”原则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及“边界清晰、业主明确、资金落实”要求，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滚动发布应用场景清单。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区大数据发展局、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区发展改革委；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区国资委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区财政局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8.推动应用场景落地。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建立本地软件供给能力目录，开展本地优秀软件和应用示范项目评选，通过区政府门户网站、微信公众号等渠道加强宣传推广。搭建供需对接平台，组织辖区软件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企业到市内外开展宣传推介，主动对接应用场景，推动本地软件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企业新技术、新产品、新服务落地应用。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区发展改革委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、区大数据发展局）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（四）培育壮大市场主体。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9.加大招商引资力度。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聚焦“3+X”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体系，针对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发展关键薄弱环节，按照“建链补链”“强链延链”思路，绘制产业链图谱，建立招商引资目录库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结合下一步发展的重点方向，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分别制定招商方案，明确招引目标、责任单位、工作时序，引进一批龙头企业和骨干企业，建强细分赛道产业链。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区招商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投资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区科技局、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区经济信息委、区大数据发展局、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各园区管委会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10.推进产业集群发展。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施行“一楼一策”精准招商，引育一批与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关联性强的新业态、新模式，打造一批集约化、特色化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、工业设计产业集群，争创一批重庆市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“满天星”示范楼宇及软件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工业设计产业国家级或市级园区。推动市级重点关键产业园（工业软件方向）、重庆市区块链数字经济产业园、国家级涉密专用信息设备应用示范基地、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重庆工业设计总部基地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重庆互联网产业园等园区建设提质增效。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牵头单位：区经济信息委；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：区招商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投资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局、各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管委会）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11.鼓励企业创新发展。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鼓励重点软件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企业、科研院所研发具有自主知识产权的软件产品，申报市级或国家级软件产品目录。支持重点软件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、科研院所创建市级或国家级重点实验室、产业创新中心、企业技术中心、工业设计中心、工业设计研究院等创新机构。强化知识产权公共服务供给，推进软著申请注册登记便利化改革，进一步规范登记程序，缩短登记周期，降低登记费用。依法加大对知识产权侵权行为惩治力度，降低知识产权维权成本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牵头单位：区科技局、区经济信息委；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：区委宣传部、区发展改革委、区市场监管局、区人民法院）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12.推动大中小企业融通发展。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支持领军企业充分发挥引领作用，加强与产业链条上下游企业合作。梳理国内外知名大中型企业、科研院所信息，争取其剥离信息化部门到渝中组建软件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企业，支持大型软件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企业内部孵化成立专业软件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子公司，培育一批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专精特新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“小巨人”企业。支持有条件的中小软件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，通过并购重组等资本运作做大做强，培育一批挂牌上市企业。加大创新创业支持力度，发挥创新创业引导基金作用，加强对种子期、初创期中小企业投资，优化中小微、初创型企业跟踪辅导、孵化服务机制，激发全社会创新创业活力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：区科技局、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区国资委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、区金融办）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13.加大金融支持力度。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坚持政府主导，鼓励企业及金融机构参与，围绕软件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企业“种子期—初创期—成长期—成熟期”全生命周期，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优化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现有产业引导股权投资、创新创业引导等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基金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，发挥国有资本引领和带动作用，撬动天使投资、风险投资（VC）、私募股权投资（PE）等社会资本，市场化打造“基金丛林”，重点支持工业软件、信创、区块链、数字内容、信息技术服务、工业设计等领域企业上规上市。加强与市级基金联动，共同投向入驻存量楼宇的优质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企业或重点项目。积极帮助符合条件的企业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重点项目争取市政府股权投资基金投资。鼓励和支持金融机构面向入驻闲置楼宇的软件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企业量身定制金融服务方案，创新金融产品服务，加大知识价值和商业价值信用贷款力度。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牵头单位：区国资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委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</w:rPr>
        <w:t>、区金融办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；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区财政局、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</w:rPr>
        <w:t>区经济信息委、区科技局）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（五）加强人才引育力度。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14.选精做实育才项目。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市区联动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创建国家级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高技能人才培训基地，构建软件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人才培训服务体系，打造“产才融合”重庆示范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。加强校地合作，围绕软件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人才培育，研究策划渝中区政府与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市内外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高校人才合作项目，明确校地双方合作培育软件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人才的具体形式和内容，积极推进合作项目落地实施。深化校企合作，收集辖区重点软件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企业与高校人才合作需求，协调搭建校企交流合作平台，畅通校企软件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人才培育输送渠道，鼓励企业、科研院所、培训机构等联合高校共同打造新型软件工程师学院、特色化示范性软件学院，利用存量楼宇建设软件人才实习实训基地，大力培养复合型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实用型软件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人才。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区人力社保局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15.建设专家智库。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聚焦工业软件、区块链、信创等领域，邀请来自知名高校、科研院所、龙头企业的领军人物、一流专家组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渝中区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专家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，加强对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行业现状、发展路径等方面分析研究，为渝中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高质量发展提供智力支撑，充分发挥专家对项目、资金、人才等要素的链接作用，吸引更多行业资源集聚渝中。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区委网信办、区教委、区科技局、区经济信息委、区财政局、区委人才办、区人力社保局、区大数据发展局、大石化新区管委会）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（六）优化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生态。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16.强化公共服务供给。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以工业软件、区块链、信创为重点支持方向，征集软件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企业在适配测评、咨询规划、开发服务、人才培训等方面共性需求，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加快推动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渝中区软件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公共服务平台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。鼓励行业协会、产业联盟等机构充分发挥服务能力，提升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公共服务质量。培育开源项目，加快繁荣众研众用众创的开源生态。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牵头单位：区发展改革委、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区科技局、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区大数据发展局、大石化新区管委会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17.营造良好发展氛围。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高质量筹办中国工业软件大会、区块链高峰论坛等品牌活动，积极参与智博会展览展陈，争取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中国国际软件发展大会、重庆软件产业发展大会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等软件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行业重大会议、活动在渝中举办。鼓励重点企业、行业协会等打造软件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行业品牌活动，加强行业内部沟通交流。加强宣传报道，提升渝中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影响力和知名度。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：区委宣传部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区大数据发展局、大石化新区管委会）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18.持续优化营商环境。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常态化收集软件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企业发展难题，建立问题清单，坚持需求导向、问题导向，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全力帮助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企业纾困解难，切实做到“企有所呼、政有所应”。持续深化“放管服”改革，借鉴先进地区经验，探索推广“免申即享”工作机制，简化软件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企业办事流程。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区发展改革委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19.建立完善容错机制。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鼓励区级各部门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单位结合实际情况，在法治框架内探索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产业发展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的创新举措，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在责任清楚、程序到位的前提下，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因缺乏经验、先行先试出现探索性失误或未达到预期效果的、在创造性开展工作过程中出现失误或造成负面影响和损失的、因不可抗力或无意过失造成失误或引发矛盾等情形免除相关责任，不作负面评价，不影响评先评优和政绩考核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区委组织部）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20.形成发展合力。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各部门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单位要把发展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摆在突出位置，切实增强推动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“满天星”发展的思想自觉和行动自觉，集约资源重点支持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发展。区级相关部门要用好现有产业发展政策和资金，将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项目纳入重点支持范围。全区各级干部要加强软件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专业知识学习，不断提高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推动产业发展的专业能力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（责任单位：区级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部门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管委会、各街道办事处、有关单位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（七）完善工作机制。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21.健全市区合作机制。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围绕协同推动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高质量发展，区政府与市委网信办、市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国家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保密局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市发展改革委、市科技局、市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经济信息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委、市大数据发展局等市级部门分别建立战略合作关系，在工业软件、区块链、信创、数字内容、信息技术服务、工业设计等领域开展全方位战略合作。区级各部门结合职能职责与工作实际，在区政府与市级部门签订的战略合作框架协议基础上，深入开展专项合作，加强市区联动，借助市级平台将更多资源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入渝中。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区政府办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、区经济信息委；责任单位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：区委网信办、区发展改革委、区科技局、区大数据发展局、区国家保密局）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22.建立统筹调度机制。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成立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由区委、区政府主要领导任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召集人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有关区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领导任副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召集人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，各有关部门、街道、管委会为成员单位的渝中区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联席会议制度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，定期召开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会议，研究解决重大问题。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联席会议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办公室设在区经济信息委，负责统筹协调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与软件和信息服务业发展相关的场所拓展、场景应用、企业培育、人才引育、生态优化等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工作。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牵头单位：区经济信息委；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区委人才办、区国资委、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区大数据发展局、区招商投资局、区人力社保局、区发展改革委</w:t>
      </w:r>
      <w:r>
        <w:rPr>
          <w:rFonts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23.实施专业管理运营。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构建由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区政府分管领导任“产业链总牵头人”，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相关部门领导任“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产业链牵头人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”、龙头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企事业单位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任“链主”、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相关优质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企事业单位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为“链核”的“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产业链牵头人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+链主+链核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”工作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机制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。重点核心区域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采取“管委会+公司”运行模式，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引进或成立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专业化、市场化、企业化运营管理团队，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提升招商引资、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产业运营、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企业服务等能力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提高政府产业感知力、政策应用力、决策执行力、企业服务力。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区国资委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（八）加大政策支持。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24.强化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考评奖励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聚焦楼宇收储使用面积、新增企业数、新增从业人员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、应用场景开放及建设情况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标，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由渝中区软件产业发展联席会议综合办公室牵头，对相关部门、管委会、国有平台企业等成员单位进行考核评价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。对绩效较好的楼宇，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联席会议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授予渝中区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“满天星”示范楼宇荣誉称号。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25.健全完善配套政策。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研究制定渝中区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发展扶持办法，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对企业生产经营、发展壮大等给予支持，鼓励企业引进中高端人才、加强研发创新、创建品牌，并加强平台和要素保障，为企业提供“全生命周期服务”，护航产业健康发展。</w:t>
      </w:r>
      <w:r>
        <w:rPr>
          <w:rFonts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用好渝中人才“黄金十二条”政策，出台实施细则，制定科创服务领域高层次人才认定标准，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分级分类为软件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人才提供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团队引进、购房补助、住房补贴、荣誉奖励、服务保障等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支持政策，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让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人才招得来、留得住、发展好。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大石化新区管委会、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区委人才办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区大数据发展局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区财政局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区住房城市建委、区人力社保局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（九）强化监测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评估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26.加强产业运行监测评估。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严格落实《软件和信息技术服务业统计调查制度》，建立统计工作机制，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相关部门和管委会要安排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专人，重点监测市场主体营收、税收、从业人员、研发投入等经济指标，按时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向行业主管部门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报送数据。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和信息服务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行业主管部门要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定期聘请第三方机构对渝中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发展情况进行全面评估，提出工作建议并发布渝中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软件和信息服务业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发展报告。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牵头单位：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区经济信息委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；责任单位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区级各相关部门、各园区管委会、各街道办事处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/>
        <w:textAlignment w:val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6" w:name="_GoBack"/>
      <w:bookmarkEnd w:id="6"/>
    </w:p>
    <w:p>
      <w:pPr>
        <w:pBdr>
          <w:top w:val="single" w:color="auto" w:sz="4" w:space="1"/>
          <w:bottom w:val="single" w:color="auto" w:sz="4" w:space="5"/>
          <w:between w:val="single" w:color="auto" w:sz="4" w:space="1"/>
        </w:pBdr>
        <w:adjustRightInd w:val="0"/>
        <w:snapToGrid w:val="0"/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重庆市渝中区人民政府办公室      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695" cy="27876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8695" cy="278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21.95pt;width:77.85pt;mso-position-horizontal:outside;mso-position-horizontal-relative:margin;z-index:251659264;mso-width-relative:page;mso-height-relative:page;" filled="f" stroked="f" coordsize="21600,21600" o:gfxdata="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w1nUtQAAAAEAQAADwAAAAAAAAABACAAAAAiAAAAZHJzL2Rv&#10;d25yZXYueG1sUEsBAhQAFAAAAAgAh07iQIa2o3oFAgAA9gMAAA4AAAAAAAAAAQAgAAAAIw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0" cy="2692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0" cy="26924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21.2pt;width:90.5pt;mso-position-horizontal:outside;mso-position-horizontal-relative:margin;z-index:251659264;mso-width-relative:page;mso-height-relative:page;" filled="f" stroked="f" coordsize="21600,21600" o:gfxdata="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2qcTtMAAAAEAQAADwAAAAAAAAABACAAAAAiAAAAZHJzL2Rvd25y&#10;ZXYueG1sUEsBAhQAFAAAAAgAh07iQEIfZPoDAgAA9wMAAA4AAAAAAAAAAQAgAAAAIg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docVars>
    <w:docVar w:name="commondata" w:val="eyJoZGlkIjoiNTM4MjVjOTMxMzU4YmIwMmU5NjdkZjBhNjllNTY4OWEifQ=="/>
  </w:docVars>
  <w:rsids>
    <w:rsidRoot w:val="00000000"/>
    <w:rsid w:val="236F42F4"/>
    <w:rsid w:val="370C326E"/>
    <w:rsid w:val="4CF546C6"/>
    <w:rsid w:val="729F1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方正仿宋_GB2312"/>
      <w:kern w:val="2"/>
      <w:sz w:val="30"/>
      <w:szCs w:val="20"/>
    </w:rPr>
  </w:style>
  <w:style w:type="paragraph" w:styleId="7">
    <w:name w:val="toc 5"/>
    <w:basedOn w:val="1"/>
    <w:next w:val="1"/>
    <w:qFormat/>
    <w:uiPriority w:val="0"/>
    <w:pPr>
      <w:ind w:left="800" w:leftChars="800"/>
      <w:jc w:val="both"/>
    </w:pPr>
    <w:rPr>
      <w:rFonts w:eastAsia="方正仿宋_GBK"/>
      <w:kern w:val="2"/>
      <w:sz w:val="32"/>
      <w:lang w:eastAsia="zh-CN" w:bidi="ar-SA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next w:val="1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index 7"/>
    <w:basedOn w:val="1"/>
    <w:next w:val="1"/>
    <w:qFormat/>
    <w:uiPriority w:val="0"/>
    <w:pPr>
      <w:ind w:left="2520"/>
    </w:pPr>
  </w:style>
  <w:style w:type="paragraph" w:styleId="12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</w:r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51"/>
    <w:basedOn w:val="14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18">
    <w:name w:val="font21"/>
    <w:basedOn w:val="14"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31"/>
    <w:basedOn w:val="14"/>
    <w:qFormat/>
    <w:uiPriority w:val="0"/>
    <w:rPr>
      <w:rFonts w:ascii="仿宋" w:eastAsia="仿宋" w:cs="仿宋"/>
      <w:color w:val="000000"/>
      <w:sz w:val="28"/>
      <w:szCs w:val="28"/>
      <w:u w:val="none"/>
    </w:rPr>
  </w:style>
  <w:style w:type="character" w:customStyle="1" w:styleId="20">
    <w:name w:val="font71"/>
    <w:basedOn w:val="14"/>
    <w:qFormat/>
    <w:uiPriority w:val="0"/>
    <w:rPr>
      <w:rFonts w:ascii="黑体" w:eastAsia="黑体" w:cs="黑体"/>
      <w:color w:val="000000"/>
      <w:sz w:val="20"/>
      <w:szCs w:val="20"/>
      <w:u w:val="none"/>
    </w:rPr>
  </w:style>
  <w:style w:type="character" w:customStyle="1" w:styleId="21">
    <w:name w:val="font131"/>
    <w:basedOn w:val="14"/>
    <w:qFormat/>
    <w:uiPriority w:val="0"/>
    <w:rPr>
      <w:rFonts w:ascii="黑体" w:eastAsia="黑体" w:cs="黑体"/>
      <w:color w:val="000000"/>
      <w:sz w:val="16"/>
      <w:szCs w:val="16"/>
      <w:u w:val="none"/>
    </w:rPr>
  </w:style>
  <w:style w:type="character" w:customStyle="1" w:styleId="22">
    <w:name w:val="font41"/>
    <w:basedOn w:val="14"/>
    <w:qFormat/>
    <w:uiPriority w:val="0"/>
    <w:rPr>
      <w:rFonts w:ascii="宋体" w:eastAsia="宋体" w:cs="宋体"/>
      <w:color w:val="000000"/>
      <w:sz w:val="16"/>
      <w:szCs w:val="16"/>
      <w:u w:val="none"/>
    </w:rPr>
  </w:style>
  <w:style w:type="character" w:customStyle="1" w:styleId="23">
    <w:name w:val="font81"/>
    <w:basedOn w:val="14"/>
    <w:qFormat/>
    <w:uiPriority w:val="0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14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5">
    <w:name w:val="font161"/>
    <w:basedOn w:val="14"/>
    <w:qFormat/>
    <w:uiPriority w:val="0"/>
    <w:rPr>
      <w:rFonts w:ascii="黑体" w:eastAsia="黑体" w:cs="黑体"/>
      <w:color w:val="000000"/>
      <w:sz w:val="16"/>
      <w:szCs w:val="16"/>
      <w:u w:val="none"/>
    </w:rPr>
  </w:style>
  <w:style w:type="character" w:customStyle="1" w:styleId="26">
    <w:name w:val="font61"/>
    <w:basedOn w:val="14"/>
    <w:qFormat/>
    <w:uiPriority w:val="0"/>
    <w:rPr>
      <w:rFonts w:ascii="宋体" w:eastAsia="宋体" w:cs="宋体"/>
      <w:color w:val="000000"/>
      <w:sz w:val="16"/>
      <w:szCs w:val="16"/>
      <w:u w:val="none"/>
    </w:rPr>
  </w:style>
  <w:style w:type="character" w:customStyle="1" w:styleId="27">
    <w:name w:val="font101"/>
    <w:basedOn w:val="14"/>
    <w:qFormat/>
    <w:uiPriority w:val="0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91"/>
    <w:basedOn w:val="14"/>
    <w:qFormat/>
    <w:uiPriority w:val="0"/>
    <w:rPr>
      <w:rFonts w:ascii="黑体" w:eastAsia="黑体" w:cs="黑体"/>
      <w:color w:val="000000"/>
      <w:sz w:val="20"/>
      <w:szCs w:val="20"/>
      <w:u w:val="none"/>
    </w:rPr>
  </w:style>
  <w:style w:type="character" w:customStyle="1" w:styleId="29">
    <w:name w:val="font171"/>
    <w:basedOn w:val="14"/>
    <w:qFormat/>
    <w:uiPriority w:val="0"/>
    <w:rPr>
      <w:rFonts w:ascii="黑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8731</Words>
  <Characters>8882</Characters>
  <Lines>1817</Lines>
  <Paragraphs>782</Paragraphs>
  <TotalTime>3</TotalTime>
  <ScaleCrop>false</ScaleCrop>
  <LinksUpToDate>false</LinksUpToDate>
  <CharactersWithSpaces>8899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2022-07-18T09:58:00Z</dcterms:created>
  <dc:creator>admin</dc:creator>
  <cp:lastModifiedBy>TG兔</cp:lastModifiedBy>
  <cp:lastPrinted>2022-09-28T09:07:00Z</cp:lastPrinted>
  <dcterms:modified xsi:type="dcterms:W3CDTF">2022-10-27T02:58:21Z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38240A302A2A420E9E8DEC7FD63AC5E1</vt:lpwstr>
  </property>
</Properties>
</file>