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spacing w:line="240" w:lineRule="auto"/>
        <w:rPr>
          <w:rFonts w:ascii="方正仿宋_GBK" w:hAnsi="方正仿宋_GBK" w:cs="方正仿宋_GBK"/>
          <w:bCs/>
          <w:color w:val="000000" w:themeColor="text1"/>
        </w:rPr>
      </w:pPr>
    </w:p>
    <w:p>
      <w:pPr>
        <w:overflowPunct w:val="0"/>
        <w:adjustRightInd/>
        <w:spacing w:line="240" w:lineRule="auto"/>
        <w:rPr>
          <w:rFonts w:ascii="方正仿宋_GBK" w:hAnsi="方正仿宋_GBK" w:cs="方正仿宋_GBK"/>
          <w:bCs/>
          <w:color w:val="000000" w:themeColor="text1"/>
        </w:rPr>
      </w:pPr>
    </w:p>
    <w:p>
      <w:pPr>
        <w:overflowPunct w:val="0"/>
        <w:adjustRightInd/>
        <w:spacing w:line="240" w:lineRule="auto"/>
        <w:rPr>
          <w:rFonts w:ascii="方正仿宋_GBK" w:hAnsi="方正仿宋_GBK" w:cs="方正仿宋_GBK"/>
          <w:bCs/>
          <w:color w:val="000000" w:themeColor="text1"/>
        </w:rPr>
      </w:pPr>
    </w:p>
    <w:p>
      <w:pPr>
        <w:overflowPunct w:val="0"/>
        <w:adjustRightInd/>
        <w:spacing w:line="240" w:lineRule="auto"/>
        <w:rPr>
          <w:bCs/>
          <w:color w:val="000000" w:themeColor="text1"/>
        </w:rPr>
      </w:pPr>
    </w:p>
    <w:p>
      <w:pPr>
        <w:overflowPunct w:val="0"/>
        <w:adjustRightInd/>
        <w:spacing w:line="240" w:lineRule="auto"/>
        <w:rPr>
          <w:bCs/>
          <w:color w:val="000000" w:themeColor="text1"/>
        </w:rPr>
      </w:pPr>
    </w:p>
    <w:p>
      <w:pPr>
        <w:overflowPunct w:val="0"/>
        <w:adjustRightInd/>
        <w:spacing w:line="240" w:lineRule="auto"/>
        <w:jc w:val="center"/>
        <w:rPr>
          <w:rFonts w:eastAsia="宋体"/>
          <w:color w:val="000000" w:themeColor="text1"/>
          <w:kern w:val="2"/>
        </w:rPr>
      </w:pPr>
    </w:p>
    <w:p>
      <w:pPr>
        <w:overflowPunct w:val="0"/>
        <w:adjustRightInd/>
        <w:spacing w:line="240" w:lineRule="auto"/>
        <w:jc w:val="center"/>
        <w:rPr>
          <w:rFonts w:eastAsia="宋体"/>
          <w:color w:val="000000" w:themeColor="text1"/>
          <w:kern w:val="2"/>
        </w:rPr>
      </w:pPr>
    </w:p>
    <w:p>
      <w:pPr>
        <w:overflowPunct w:val="0"/>
        <w:adjustRightInd/>
        <w:spacing w:line="240" w:lineRule="auto"/>
        <w:jc w:val="both"/>
        <w:rPr>
          <w:rFonts w:eastAsia="宋体"/>
          <w:color w:val="000000" w:themeColor="text1"/>
          <w:kern w:val="2"/>
        </w:rPr>
      </w:pPr>
    </w:p>
    <w:p>
      <w:pPr>
        <w:overflowPunct w:val="0"/>
        <w:adjustRightInd/>
        <w:spacing w:line="240" w:lineRule="auto"/>
        <w:jc w:val="center"/>
        <w:rPr>
          <w:rFonts w:hint="eastAsia" w:ascii="方正仿宋_GBK" w:hAnsi="方正仿宋_GBK" w:cs="方正仿宋_GBK"/>
          <w:bCs/>
          <w:color w:val="000000" w:themeColor="text1"/>
        </w:rPr>
      </w:pPr>
      <w:r>
        <w:rPr>
          <w:rFonts w:hint="eastAsia" w:ascii="方正仿宋_GBK" w:hAnsi="方正仿宋_GBK" w:eastAsia="方正仿宋_GBK" w:cs="方正仿宋_GBK"/>
          <w:vanish w:val="0"/>
          <w:color w:val="000000" w:themeColor="text1"/>
          <w:kern w:val="2"/>
        </w:rPr>
        <w:t>渝发改工业〔</w:t>
      </w:r>
      <w:r>
        <w:rPr>
          <w:rFonts w:hint="default" w:eastAsia="方正仿宋_GBK"/>
          <w:vanish w:val="0"/>
          <w:color w:val="000000" w:themeColor="text1"/>
          <w:kern w:val="2"/>
        </w:rPr>
        <w:t>2022</w:t>
      </w:r>
      <w:r>
        <w:rPr>
          <w:rFonts w:hint="eastAsia" w:ascii="方正仿宋_GBK" w:hAnsi="方正仿宋_GBK" w:eastAsia="方正仿宋_GBK" w:cs="方正仿宋_GBK"/>
          <w:vanish w:val="0"/>
          <w:color w:val="000000" w:themeColor="text1"/>
          <w:kern w:val="2"/>
        </w:rPr>
        <w:t>〕</w:t>
      </w:r>
      <w:r>
        <w:rPr>
          <w:rFonts w:hint="default" w:eastAsia="方正仿宋_GBK"/>
          <w:vanish w:val="0"/>
          <w:color w:val="000000" w:themeColor="text1"/>
          <w:kern w:val="2"/>
        </w:rPr>
        <w:t>444</w:t>
      </w:r>
      <w:r>
        <w:rPr>
          <w:rFonts w:hint="eastAsia" w:ascii="方正仿宋_GBK" w:hAnsi="方正仿宋_GBK" w:eastAsia="方正仿宋_GBK" w:cs="方正仿宋_GBK"/>
          <w:vanish w:val="0"/>
          <w:color w:val="000000" w:themeColor="text1"/>
          <w:kern w:val="2"/>
        </w:rPr>
        <w:t>号</w:t>
      </w:r>
    </w:p>
    <w:p>
      <w:pPr>
        <w:overflowPunct w:val="0"/>
        <w:adjustRightInd/>
        <w:spacing w:line="580" w:lineRule="exact"/>
        <w:jc w:val="center"/>
        <w:rPr>
          <w:bCs/>
          <w:color w:val="000000" w:themeColor="text1"/>
        </w:rPr>
      </w:pPr>
    </w:p>
    <w:p>
      <w:pPr>
        <w:overflowPunct w:val="0"/>
        <w:adjustRightInd/>
        <w:spacing w:line="580" w:lineRule="exact"/>
        <w:jc w:val="center"/>
        <w:rPr>
          <w:rFonts w:ascii="方正仿宋_GBK" w:hAnsi="方正仿宋_GBK" w:cs="方正仿宋_GBK"/>
          <w:bCs/>
          <w:color w:val="000000" w:themeColor="text1"/>
        </w:rPr>
      </w:pPr>
      <w:bookmarkStart w:id="0" w:name="正文"/>
      <w:bookmarkEnd w:id="0"/>
    </w:p>
    <w:p>
      <w:pPr>
        <w:overflowPunct w:val="0"/>
        <w:adjustRightInd/>
        <w:spacing w:line="580" w:lineRule="exact"/>
        <w:jc w:val="center"/>
        <w:outlineLvl w:val="0"/>
        <w:rPr>
          <w:rFonts w:ascii="方正小标宋_GBK" w:hAnsi="方正小标宋_GBK" w:eastAsia="方正小标宋_GBK" w:cs="方正小标宋_GBK"/>
          <w:color w:val="000000" w:themeColor="text1"/>
          <w:sz w:val="44"/>
          <w:szCs w:val="44"/>
          <w:lang w:bidi="ar"/>
        </w:rPr>
      </w:pPr>
      <w:r>
        <w:rPr>
          <w:rFonts w:hint="eastAsia" w:ascii="方正小标宋_GBK" w:hAnsi="方正小标宋_GBK" w:eastAsia="方正小标宋_GBK" w:cs="方正小标宋_GBK"/>
          <w:color w:val="000000" w:themeColor="text1"/>
          <w:sz w:val="44"/>
          <w:szCs w:val="44"/>
          <w:lang w:bidi="ar"/>
        </w:rPr>
        <w:t>关于印发《重庆市促进工业经济平稳增长</w:t>
      </w:r>
    </w:p>
    <w:p>
      <w:pPr>
        <w:overflowPunct w:val="0"/>
        <w:adjustRightInd/>
        <w:spacing w:line="580" w:lineRule="exact"/>
        <w:jc w:val="center"/>
        <w:outlineLvl w:val="0"/>
        <w:rPr>
          <w:rFonts w:ascii="方正小标宋_GBK" w:hAnsi="方正小标宋_GBK" w:eastAsia="方正小标宋_GBK" w:cs="方正小标宋_GBK"/>
          <w:color w:val="000000" w:themeColor="text1"/>
          <w:sz w:val="44"/>
          <w:szCs w:val="44"/>
          <w:lang w:bidi="ar"/>
        </w:rPr>
      </w:pPr>
      <w:r>
        <w:rPr>
          <w:rFonts w:hint="eastAsia" w:ascii="方正小标宋_GBK" w:hAnsi="方正小标宋_GBK" w:eastAsia="方正小标宋_GBK" w:cs="方正小标宋_GBK"/>
          <w:color w:val="000000" w:themeColor="text1"/>
          <w:sz w:val="44"/>
          <w:szCs w:val="44"/>
          <w:lang w:bidi="ar"/>
        </w:rPr>
        <w:t>若干政策措施》的通知</w:t>
      </w:r>
    </w:p>
    <w:p>
      <w:pPr>
        <w:overflowPunct w:val="0"/>
        <w:adjustRightInd/>
        <w:spacing w:line="240" w:lineRule="auto"/>
        <w:rPr>
          <w:color w:val="000000" w:themeColor="text1"/>
          <w:lang w:bidi="ar"/>
        </w:rPr>
      </w:pPr>
    </w:p>
    <w:p>
      <w:pPr>
        <w:overflowPunct w:val="0"/>
        <w:adjustRightInd/>
        <w:spacing w:line="240" w:lineRule="auto"/>
        <w:rPr>
          <w:color w:val="000000" w:themeColor="text1"/>
          <w:lang w:val="en-US" w:bidi="ar"/>
        </w:rPr>
      </w:pPr>
      <w:r>
        <w:rPr>
          <w:rFonts w:hint="eastAsia"/>
          <w:color w:val="000000" w:themeColor="text1"/>
          <w:lang w:val="en-US" w:bidi="ar"/>
        </w:rPr>
        <w:t>各区县（自治县）人民政府，市级有关部门，有关单位：</w:t>
      </w:r>
    </w:p>
    <w:p>
      <w:pPr>
        <w:overflowPunct w:val="0"/>
        <w:adjustRightInd/>
        <w:spacing w:line="240" w:lineRule="auto"/>
        <w:ind w:firstLine="632" w:firstLineChars="200"/>
        <w:rPr>
          <w:color w:val="000000" w:themeColor="text1"/>
          <w:lang w:val="en-US" w:bidi="ar"/>
        </w:rPr>
      </w:pPr>
      <w:r>
        <w:rPr>
          <w:rFonts w:hint="eastAsia"/>
          <w:color w:val="000000" w:themeColor="text1"/>
          <w:lang w:val="en-US" w:bidi="ar"/>
        </w:rPr>
        <w:t>《重庆市促进工业经济平稳增长若干政策措施》已经市政府同意，现印发给你们，请认真贯彻执行。</w:t>
      </w:r>
    </w:p>
    <w:p>
      <w:pPr>
        <w:keepNext w:val="0"/>
        <w:keepLines w:val="0"/>
        <w:pageBreakBefore w:val="0"/>
        <w:kinsoku/>
        <w:wordWrap/>
        <w:overflowPunct w:val="0"/>
        <w:topLinePunct w:val="0"/>
        <w:autoSpaceDE/>
        <w:autoSpaceDN/>
        <w:bidi w:val="0"/>
        <w:adjustRightInd/>
        <w:snapToGrid/>
        <w:spacing w:after="0" w:line="240" w:lineRule="auto"/>
        <w:jc w:val="center"/>
        <w:rPr>
          <w:color w:val="000000" w:themeColor="text1"/>
          <w:lang w:val="en-US"/>
        </w:rPr>
      </w:pPr>
    </w:p>
    <w:p>
      <w:pPr>
        <w:overflowPunct w:val="0"/>
        <w:adjustRightInd/>
        <w:spacing w:line="240" w:lineRule="auto"/>
        <w:jc w:val="center"/>
        <w:rPr>
          <w:color w:val="000000" w:themeColor="text1"/>
          <w:lang w:val="en-US"/>
        </w:rPr>
      </w:pPr>
    </w:p>
    <w:p>
      <w:pPr>
        <w:overflowPunct w:val="0"/>
        <w:adjustRightInd/>
        <w:spacing w:line="240" w:lineRule="auto"/>
        <w:jc w:val="center"/>
        <w:rPr>
          <w:color w:val="000000" w:themeColor="text1"/>
          <w:lang w:val="en-US"/>
        </w:rPr>
      </w:pPr>
    </w:p>
    <w:p>
      <w:pPr>
        <w:overflowPunct w:val="0"/>
        <w:adjustRightInd/>
        <w:spacing w:line="240" w:lineRule="auto"/>
        <w:ind w:firstLine="316" w:firstLineChars="100"/>
        <w:jc w:val="left"/>
        <w:rPr>
          <w:color w:val="000000" w:themeColor="text1"/>
          <w:lang w:val="en-US"/>
        </w:rPr>
      </w:pPr>
      <w:r>
        <w:rPr>
          <w:rFonts w:hint="eastAsia"/>
          <w:color w:val="000000" w:themeColor="text1"/>
          <w:lang w:val="en-US"/>
        </w:rPr>
        <w:t>重庆市发展和改革委员会       重庆市经济和信息化委员会</w:t>
      </w:r>
    </w:p>
    <w:p>
      <w:pPr>
        <w:overflowPunct w:val="0"/>
        <w:adjustRightInd/>
        <w:spacing w:line="240" w:lineRule="auto"/>
        <w:jc w:val="left"/>
        <w:rPr>
          <w:color w:val="000000" w:themeColor="text1"/>
          <w:lang w:val="en-US"/>
        </w:rPr>
      </w:pPr>
    </w:p>
    <w:p>
      <w:pPr>
        <w:overflowPunct w:val="0"/>
        <w:adjustRightInd/>
        <w:spacing w:line="240" w:lineRule="auto"/>
        <w:ind w:firstLine="759" w:firstLineChars="240"/>
        <w:jc w:val="left"/>
        <w:rPr>
          <w:rFonts w:hint="eastAsia"/>
          <w:color w:val="000000" w:themeColor="text1"/>
          <w:lang w:val="en-US"/>
        </w:rPr>
      </w:pPr>
    </w:p>
    <w:p>
      <w:pPr>
        <w:overflowPunct w:val="0"/>
        <w:adjustRightInd/>
        <w:spacing w:line="240" w:lineRule="auto"/>
        <w:ind w:firstLine="759" w:firstLineChars="240"/>
        <w:jc w:val="left"/>
        <w:rPr>
          <w:rFonts w:hint="eastAsia"/>
          <w:color w:val="000000" w:themeColor="text1"/>
          <w:lang w:val="en-US"/>
        </w:rPr>
      </w:pPr>
    </w:p>
    <w:p>
      <w:pPr>
        <w:overflowPunct w:val="0"/>
        <w:adjustRightInd/>
        <w:spacing w:line="240" w:lineRule="auto"/>
        <w:ind w:firstLine="759" w:firstLineChars="240"/>
        <w:jc w:val="left"/>
        <w:rPr>
          <w:rFonts w:hint="eastAsia"/>
          <w:color w:val="000000" w:themeColor="text1"/>
          <w:lang w:val="en-US"/>
        </w:rPr>
      </w:pPr>
    </w:p>
    <w:p>
      <w:pPr>
        <w:overflowPunct w:val="0"/>
        <w:adjustRightInd/>
        <w:spacing w:line="240" w:lineRule="auto"/>
        <w:ind w:firstLine="759" w:firstLineChars="240"/>
        <w:jc w:val="left"/>
        <w:rPr>
          <w:rFonts w:hint="eastAsia"/>
          <w:color w:val="000000" w:themeColor="text1"/>
          <w:lang w:val="en-US"/>
        </w:rPr>
      </w:pPr>
    </w:p>
    <w:p>
      <w:pPr>
        <w:overflowPunct w:val="0"/>
        <w:adjustRightInd/>
        <w:spacing w:line="240" w:lineRule="auto"/>
        <w:ind w:firstLine="980" w:firstLineChars="310"/>
        <w:jc w:val="left"/>
        <w:rPr>
          <w:color w:val="000000" w:themeColor="text1"/>
          <w:lang w:val="en-US"/>
        </w:rPr>
      </w:pPr>
      <w:r>
        <w:rPr>
          <w:rFonts w:hint="eastAsia"/>
          <w:color w:val="000000" w:themeColor="text1"/>
          <w:lang w:val="en-US"/>
        </w:rPr>
        <w:t>重庆市财政局          重庆市人力资源和社会保障局</w:t>
      </w:r>
    </w:p>
    <w:p>
      <w:pPr>
        <w:overflowPunct w:val="0"/>
        <w:adjustRightInd/>
        <w:spacing w:line="240" w:lineRule="auto"/>
        <w:jc w:val="left"/>
        <w:rPr>
          <w:color w:val="000000" w:themeColor="text1"/>
          <w:lang w:val="en-US"/>
        </w:rPr>
      </w:pPr>
    </w:p>
    <w:p>
      <w:pPr>
        <w:overflowPunct w:val="0"/>
        <w:adjustRightInd/>
        <w:spacing w:line="240" w:lineRule="auto"/>
        <w:ind w:firstLine="297" w:firstLineChars="94"/>
        <w:jc w:val="left"/>
        <w:rPr>
          <w:rFonts w:hint="eastAsia"/>
          <w:color w:val="000000" w:themeColor="text1"/>
          <w:lang w:val="en-US"/>
        </w:rPr>
      </w:pPr>
    </w:p>
    <w:p>
      <w:pPr>
        <w:overflowPunct w:val="0"/>
        <w:adjustRightInd/>
        <w:spacing w:line="240" w:lineRule="auto"/>
        <w:ind w:firstLine="297" w:firstLineChars="94"/>
        <w:jc w:val="left"/>
        <w:rPr>
          <w:rFonts w:hint="eastAsia"/>
          <w:color w:val="000000" w:themeColor="text1"/>
          <w:lang w:val="en-US"/>
        </w:rPr>
      </w:pPr>
    </w:p>
    <w:p>
      <w:pPr>
        <w:overflowPunct w:val="0"/>
        <w:adjustRightInd/>
        <w:spacing w:line="240" w:lineRule="auto"/>
        <w:ind w:firstLine="297" w:firstLineChars="94"/>
        <w:jc w:val="left"/>
        <w:rPr>
          <w:rFonts w:hint="eastAsia"/>
          <w:color w:val="000000" w:themeColor="text1"/>
          <w:lang w:val="en-US"/>
        </w:rPr>
      </w:pPr>
    </w:p>
    <w:p>
      <w:pPr>
        <w:overflowPunct w:val="0"/>
        <w:adjustRightInd/>
        <w:spacing w:line="240" w:lineRule="auto"/>
        <w:ind w:firstLine="297" w:firstLineChars="94"/>
        <w:jc w:val="left"/>
        <w:rPr>
          <w:color w:val="000000" w:themeColor="text1"/>
          <w:lang w:val="en-US"/>
        </w:rPr>
      </w:pPr>
      <w:r>
        <w:rPr>
          <w:rFonts w:hint="eastAsia"/>
          <w:color w:val="000000" w:themeColor="text1"/>
          <w:lang w:val="en-US"/>
        </w:rPr>
        <w:t xml:space="preserve">重庆市规划和自然资源局    </w:t>
      </w:r>
      <w:r>
        <w:rPr>
          <w:rFonts w:hint="eastAsia"/>
          <w:color w:val="000000" w:themeColor="text1"/>
          <w:lang w:val="en-US" w:eastAsia="zh-CN"/>
        </w:rPr>
        <w:t xml:space="preserve"> </w:t>
      </w:r>
      <w:r>
        <w:rPr>
          <w:rFonts w:hint="eastAsia"/>
          <w:color w:val="000000" w:themeColor="text1"/>
          <w:lang w:val="en-US"/>
        </w:rPr>
        <w:t xml:space="preserve">      重庆市生态环境局</w:t>
      </w:r>
    </w:p>
    <w:p>
      <w:pPr>
        <w:overflowPunct w:val="0"/>
        <w:adjustRightInd/>
        <w:spacing w:line="240" w:lineRule="auto"/>
        <w:jc w:val="left"/>
        <w:rPr>
          <w:rFonts w:hint="eastAsia"/>
          <w:color w:val="000000" w:themeColor="text1"/>
          <w:lang w:val="en-US" w:eastAsia="zh-CN"/>
        </w:rPr>
      </w:pPr>
      <w:r>
        <w:rPr>
          <w:rFonts w:hint="eastAsia"/>
          <w:color w:val="000000" w:themeColor="text1"/>
          <w:lang w:val="en-US" w:eastAsia="zh-CN"/>
        </w:rPr>
        <w:t xml:space="preserve">   </w:t>
      </w:r>
    </w:p>
    <w:p>
      <w:pPr>
        <w:overflowPunct w:val="0"/>
        <w:adjustRightInd/>
        <w:spacing w:line="240" w:lineRule="auto"/>
        <w:jc w:val="left"/>
        <w:rPr>
          <w:rFonts w:hint="eastAsia"/>
          <w:color w:val="000000" w:themeColor="text1"/>
          <w:lang w:val="en-US" w:eastAsia="zh-CN"/>
        </w:rPr>
      </w:pPr>
    </w:p>
    <w:p>
      <w:pPr>
        <w:overflowPunct w:val="0"/>
        <w:adjustRightInd/>
        <w:spacing w:line="240" w:lineRule="auto"/>
        <w:jc w:val="left"/>
        <w:rPr>
          <w:rFonts w:hint="eastAsia"/>
          <w:color w:val="000000" w:themeColor="text1"/>
          <w:lang w:val="en-US" w:eastAsia="zh-CN"/>
        </w:rPr>
      </w:pPr>
    </w:p>
    <w:p>
      <w:pPr>
        <w:overflowPunct w:val="0"/>
        <w:adjustRightInd/>
        <w:spacing w:line="240" w:lineRule="auto"/>
        <w:jc w:val="left"/>
        <w:rPr>
          <w:rFonts w:hint="default"/>
          <w:color w:val="000000" w:themeColor="text1"/>
          <w:lang w:val="en-US" w:eastAsia="zh-CN"/>
        </w:rPr>
      </w:pPr>
    </w:p>
    <w:p>
      <w:pPr>
        <w:overflowPunct w:val="0"/>
        <w:adjustRightInd/>
        <w:spacing w:line="240" w:lineRule="auto"/>
        <w:ind w:firstLine="980" w:firstLineChars="310"/>
        <w:jc w:val="left"/>
        <w:rPr>
          <w:color w:val="000000" w:themeColor="text1"/>
          <w:lang w:val="en-US"/>
        </w:rPr>
      </w:pPr>
      <w:r>
        <w:rPr>
          <w:rFonts w:hint="eastAsia"/>
          <w:color w:val="000000" w:themeColor="text1"/>
          <w:lang w:val="en-US"/>
        </w:rPr>
        <w:t xml:space="preserve">重庆市交通局            </w:t>
      </w:r>
      <w:r>
        <w:rPr>
          <w:rFonts w:hint="eastAsia"/>
          <w:color w:val="000000" w:themeColor="text1"/>
          <w:lang w:val="en-US" w:eastAsia="zh-CN"/>
        </w:rPr>
        <w:t xml:space="preserve">  </w:t>
      </w:r>
      <w:r>
        <w:rPr>
          <w:rFonts w:hint="eastAsia"/>
          <w:color w:val="000000" w:themeColor="text1"/>
          <w:lang w:val="en-US"/>
        </w:rPr>
        <w:t xml:space="preserve">   重庆市商务委员会</w:t>
      </w:r>
    </w:p>
    <w:p>
      <w:pPr>
        <w:overflowPunct w:val="0"/>
        <w:adjustRightInd/>
        <w:spacing w:line="240" w:lineRule="auto"/>
        <w:jc w:val="left"/>
        <w:rPr>
          <w:color w:val="000000" w:themeColor="text1"/>
          <w:lang w:val="en-US"/>
        </w:rPr>
      </w:pPr>
    </w:p>
    <w:p>
      <w:pPr>
        <w:overflowPunct w:val="0"/>
        <w:adjustRightInd/>
        <w:spacing w:line="240" w:lineRule="auto"/>
        <w:jc w:val="left"/>
        <w:rPr>
          <w:color w:val="000000" w:themeColor="text1"/>
          <w:lang w:val="en-US"/>
        </w:rPr>
      </w:pPr>
    </w:p>
    <w:p>
      <w:pPr>
        <w:overflowPunct w:val="0"/>
        <w:adjustRightInd/>
        <w:spacing w:line="240" w:lineRule="auto"/>
        <w:jc w:val="left"/>
        <w:rPr>
          <w:color w:val="000000" w:themeColor="text1"/>
          <w:lang w:val="en-US"/>
        </w:rPr>
      </w:pPr>
    </w:p>
    <w:p>
      <w:pPr>
        <w:overflowPunct w:val="0"/>
        <w:adjustRightInd/>
        <w:spacing w:line="240" w:lineRule="auto"/>
        <w:jc w:val="left"/>
        <w:rPr>
          <w:color w:val="000000" w:themeColor="text1"/>
          <w:lang w:val="en-US"/>
        </w:rPr>
      </w:pPr>
    </w:p>
    <w:p>
      <w:pPr>
        <w:overflowPunct w:val="0"/>
        <w:adjustRightInd/>
        <w:spacing w:line="240" w:lineRule="auto"/>
        <w:ind w:firstLine="980" w:firstLineChars="310"/>
        <w:jc w:val="left"/>
        <w:rPr>
          <w:color w:val="000000" w:themeColor="text1"/>
          <w:lang w:val="en-US"/>
        </w:rPr>
      </w:pPr>
      <w:r>
        <w:rPr>
          <w:rFonts w:hint="eastAsia"/>
          <w:color w:val="000000" w:themeColor="text1"/>
          <w:lang w:val="en-US"/>
        </w:rPr>
        <w:t xml:space="preserve">重庆市能源局 </w:t>
      </w:r>
      <w:r>
        <w:rPr>
          <w:color w:val="000000" w:themeColor="text1"/>
          <w:lang w:val="en-US"/>
        </w:rPr>
        <w:t xml:space="preserve">        </w:t>
      </w:r>
      <w:r>
        <w:rPr>
          <w:rFonts w:hint="eastAsia"/>
          <w:color w:val="000000" w:themeColor="text1"/>
          <w:lang w:val="en-US"/>
        </w:rPr>
        <w:t xml:space="preserve">    国家税务总局重庆市税务局</w:t>
      </w:r>
    </w:p>
    <w:p>
      <w:pPr>
        <w:pStyle w:val="2"/>
        <w:rPr>
          <w:color w:val="000000" w:themeColor="text1"/>
          <w:lang w:val="en-US"/>
        </w:rPr>
      </w:pPr>
    </w:p>
    <w:p>
      <w:pPr>
        <w:overflowPunct w:val="0"/>
        <w:adjustRightInd/>
        <w:spacing w:line="240" w:lineRule="auto"/>
        <w:jc w:val="left"/>
        <w:rPr>
          <w:rFonts w:hint="eastAsia"/>
          <w:color w:val="000000" w:themeColor="text1"/>
          <w:lang w:val="en-US"/>
        </w:rPr>
      </w:pPr>
    </w:p>
    <w:p>
      <w:pPr>
        <w:overflowPunct w:val="0"/>
        <w:adjustRightInd/>
        <w:spacing w:line="240" w:lineRule="auto"/>
        <w:jc w:val="left"/>
        <w:rPr>
          <w:rFonts w:hint="eastAsia"/>
          <w:color w:val="000000" w:themeColor="text1"/>
          <w:lang w:val="en-US"/>
        </w:rPr>
      </w:pPr>
    </w:p>
    <w:p>
      <w:pPr>
        <w:overflowPunct w:val="0"/>
        <w:adjustRightInd/>
        <w:spacing w:line="240" w:lineRule="auto"/>
        <w:jc w:val="left"/>
        <w:rPr>
          <w:rFonts w:hint="eastAsia"/>
          <w:color w:val="000000" w:themeColor="text1"/>
          <w:lang w:val="en-US"/>
        </w:rPr>
      </w:pPr>
    </w:p>
    <w:p>
      <w:pPr>
        <w:overflowPunct w:val="0"/>
        <w:adjustRightInd/>
        <w:spacing w:line="240" w:lineRule="auto"/>
        <w:jc w:val="left"/>
        <w:rPr>
          <w:rFonts w:hint="eastAsia"/>
          <w:color w:val="000000" w:themeColor="text1"/>
          <w:lang w:val="en-US"/>
        </w:rPr>
      </w:pPr>
    </w:p>
    <w:p>
      <w:pPr>
        <w:overflowPunct w:val="0"/>
        <w:adjustRightInd/>
        <w:spacing w:line="240" w:lineRule="auto"/>
        <w:jc w:val="left"/>
        <w:rPr>
          <w:rFonts w:hint="eastAsia"/>
          <w:color w:val="000000" w:themeColor="text1"/>
          <w:lang w:val="en-US"/>
        </w:rPr>
      </w:pPr>
    </w:p>
    <w:p>
      <w:pPr>
        <w:overflowPunct w:val="0"/>
        <w:adjustRightInd/>
        <w:spacing w:line="240" w:lineRule="auto"/>
        <w:jc w:val="left"/>
        <w:rPr>
          <w:rFonts w:eastAsia="方正黑体_GBK"/>
          <w:color w:val="000000" w:themeColor="text1"/>
          <w:sz w:val="36"/>
          <w:szCs w:val="36"/>
          <w:lang w:val="en-US"/>
        </w:rPr>
      </w:pPr>
      <w:r>
        <w:rPr>
          <w:rFonts w:hint="eastAsia"/>
          <w:color w:val="000000" w:themeColor="text1"/>
          <w:spacing w:val="-11"/>
          <w:lang w:val="en-US"/>
        </w:rPr>
        <w:t>中国人民银行重庆营业管理部</w:t>
      </w:r>
      <w:r>
        <w:rPr>
          <w:rFonts w:hint="eastAsia"/>
          <w:color w:val="000000" w:themeColor="text1"/>
          <w:lang w:val="en-US"/>
        </w:rPr>
        <w:t xml:space="preserve"> </w:t>
      </w:r>
      <w:r>
        <w:rPr>
          <w:rFonts w:hint="eastAsia"/>
          <w:color w:val="000000" w:themeColor="text1"/>
          <w:lang w:val="en-US" w:eastAsia="zh-CN"/>
        </w:rPr>
        <w:t xml:space="preserve"> </w:t>
      </w:r>
      <w:r>
        <w:rPr>
          <w:rFonts w:hint="eastAsia"/>
          <w:color w:val="000000" w:themeColor="text1"/>
          <w:spacing w:val="-28"/>
          <w:lang w:val="en-US"/>
        </w:rPr>
        <w:t>中国银行保险监督管理委员会重庆监管局</w:t>
      </w:r>
    </w:p>
    <w:p>
      <w:pPr>
        <w:keepNext w:val="0"/>
        <w:keepLines w:val="0"/>
        <w:pageBreakBefore w:val="0"/>
        <w:kinsoku/>
        <w:wordWrap/>
        <w:overflowPunct w:val="0"/>
        <w:topLinePunct w:val="0"/>
        <w:autoSpaceDE/>
        <w:autoSpaceDN/>
        <w:bidi w:val="0"/>
        <w:adjustRightInd/>
        <w:snapToGrid/>
        <w:spacing w:before="0" w:beforeAutospacing="0" w:after="0" w:afterAutospacing="0" w:line="240" w:lineRule="auto"/>
        <w:ind w:left="0" w:leftChars="0" w:firstLine="5321" w:firstLineChars="1684"/>
        <w:jc w:val="left"/>
        <w:rPr>
          <w:rFonts w:hint="eastAsia" w:ascii="方正仿宋_GBK" w:hAnsi="微软雅黑" w:cs="宋体"/>
          <w:color w:val="000000" w:themeColor="text1"/>
          <w:lang w:val="en-US"/>
        </w:rPr>
      </w:pPr>
      <w:r>
        <w:rPr>
          <w:rFonts w:hint="default" w:ascii="Times New Roman" w:hAnsi="Times New Roman" w:cs="Times New Roman"/>
          <w:color w:val="000000" w:themeColor="text1"/>
          <w:lang w:val="en-US"/>
        </w:rPr>
        <w:t>2022</w:t>
      </w:r>
      <w:r>
        <w:rPr>
          <w:rFonts w:hint="eastAsia" w:ascii="方正仿宋_GBK" w:hAnsi="微软雅黑" w:cs="宋体"/>
          <w:color w:val="000000" w:themeColor="text1"/>
          <w:lang w:val="en-US"/>
        </w:rPr>
        <w:t>年</w:t>
      </w:r>
      <w:r>
        <w:rPr>
          <w:rFonts w:hint="default" w:ascii="Times New Roman" w:hAnsi="Times New Roman" w:cs="Times New Roman"/>
          <w:color w:val="000000" w:themeColor="text1"/>
          <w:lang w:val="en-US"/>
        </w:rPr>
        <w:t>3</w:t>
      </w:r>
      <w:r>
        <w:rPr>
          <w:rFonts w:hint="eastAsia" w:ascii="方正仿宋_GBK" w:hAnsi="微软雅黑" w:cs="宋体"/>
          <w:color w:val="000000" w:themeColor="text1"/>
          <w:lang w:val="en-US"/>
        </w:rPr>
        <w:t>月</w:t>
      </w:r>
      <w:r>
        <w:rPr>
          <w:rFonts w:hint="eastAsia" w:cs="Times New Roman"/>
          <w:color w:val="000000" w:themeColor="text1"/>
          <w:lang w:val="en-US" w:eastAsia="zh-CN"/>
        </w:rPr>
        <w:t>26</w:t>
      </w:r>
      <w:r>
        <w:rPr>
          <w:rFonts w:hint="eastAsia" w:ascii="方正仿宋_GBK" w:hAnsi="微软雅黑" w:cs="宋体"/>
          <w:color w:val="000000" w:themeColor="text1"/>
          <w:lang w:val="en-US"/>
        </w:rPr>
        <w:t>日</w:t>
      </w:r>
    </w:p>
    <w:p>
      <w:pPr>
        <w:keepNext w:val="0"/>
        <w:keepLines w:val="0"/>
        <w:pageBreakBefore w:val="0"/>
        <w:kinsoku/>
        <w:wordWrap/>
        <w:overflowPunct w:val="0"/>
        <w:topLinePunct w:val="0"/>
        <w:autoSpaceDE/>
        <w:autoSpaceDN/>
        <w:bidi w:val="0"/>
        <w:adjustRightInd/>
        <w:snapToGrid/>
        <w:spacing w:before="0" w:beforeAutospacing="0" w:after="0" w:afterAutospacing="0" w:line="240" w:lineRule="auto"/>
        <w:ind w:left="0" w:leftChars="0" w:firstLine="5562" w:firstLineChars="1760"/>
        <w:jc w:val="left"/>
        <w:rPr>
          <w:rFonts w:hint="eastAsia" w:ascii="方正仿宋_GBK" w:hAnsi="微软雅黑" w:cs="宋体"/>
          <w:color w:val="000000" w:themeColor="text1"/>
          <w:lang w:val="en-US"/>
        </w:rPr>
      </w:pPr>
    </w:p>
    <w:p>
      <w:pPr>
        <w:overflowPunct w:val="0"/>
        <w:adjustRightInd/>
        <w:spacing w:line="580" w:lineRule="exact"/>
        <w:jc w:val="center"/>
        <w:textAlignment w:val="auto"/>
        <w:rPr>
          <w:rFonts w:eastAsia="方正小标宋_GBK" w:cs="方正小标宋_GBK"/>
          <w:bCs/>
          <w:color w:val="000000" w:themeColor="text1"/>
          <w:sz w:val="44"/>
          <w:szCs w:val="44"/>
          <w:lang w:val="en-US"/>
        </w:rPr>
      </w:pPr>
      <w:r>
        <w:rPr>
          <w:rFonts w:hint="eastAsia" w:ascii="方正仿宋_GBK" w:hAnsi="微软雅黑" w:cs="宋体"/>
          <w:color w:val="000000" w:themeColor="text1"/>
          <w:lang w:val="en-US"/>
        </w:rPr>
        <w:br w:type="page"/>
      </w:r>
      <w:bookmarkStart w:id="1" w:name="_Hlk99358502"/>
      <w:r>
        <w:rPr>
          <w:rFonts w:hint="eastAsia" w:eastAsia="方正小标宋_GBK" w:cs="方正小标宋_GBK"/>
          <w:bCs/>
          <w:color w:val="000000" w:themeColor="text1"/>
          <w:sz w:val="44"/>
          <w:szCs w:val="44"/>
          <w:lang w:val="en-US"/>
        </w:rPr>
        <w:t>重庆市促进工业经济平稳增长若干政策措施</w:t>
      </w:r>
    </w:p>
    <w:p>
      <w:pPr>
        <w:overflowPunct w:val="0"/>
        <w:adjustRightInd/>
        <w:spacing w:line="240" w:lineRule="auto"/>
        <w:ind w:firstLine="632" w:firstLineChars="200"/>
        <w:rPr>
          <w:color w:val="000000" w:themeColor="text1"/>
          <w:lang w:val="en-US"/>
        </w:rPr>
      </w:pPr>
    </w:p>
    <w:p>
      <w:pPr>
        <w:overflowPunct w:val="0"/>
        <w:adjustRightInd/>
        <w:spacing w:line="240" w:lineRule="auto"/>
        <w:ind w:firstLine="632" w:firstLineChars="200"/>
        <w:rPr>
          <w:color w:val="000000" w:themeColor="text1"/>
          <w:lang w:val="en-US"/>
        </w:rPr>
      </w:pPr>
      <w:r>
        <w:rPr>
          <w:rFonts w:hint="eastAsia"/>
          <w:color w:val="000000" w:themeColor="text1"/>
          <w:lang w:val="en-US"/>
        </w:rPr>
        <w:t>为贯彻落实国家发展改革委等</w:t>
      </w:r>
      <w:r>
        <w:rPr>
          <w:color w:val="000000" w:themeColor="text1"/>
          <w:lang w:val="en-US"/>
        </w:rPr>
        <w:t>12</w:t>
      </w:r>
      <w:r>
        <w:rPr>
          <w:rFonts w:hint="eastAsia"/>
          <w:color w:val="000000" w:themeColor="text1"/>
          <w:lang w:val="en-US"/>
        </w:rPr>
        <w:t>部委《关于印发促进工业经济平稳增长的若干政策的通知》（发改产业〔</w:t>
      </w:r>
      <w:r>
        <w:rPr>
          <w:color w:val="000000" w:themeColor="text1"/>
          <w:lang w:val="en-US"/>
        </w:rPr>
        <w:t>2022</w:t>
      </w:r>
      <w:r>
        <w:rPr>
          <w:rFonts w:hint="eastAsia"/>
          <w:color w:val="000000" w:themeColor="text1"/>
          <w:lang w:val="en-US"/>
        </w:rPr>
        <w:t>〕</w:t>
      </w:r>
      <w:r>
        <w:rPr>
          <w:color w:val="000000" w:themeColor="text1"/>
          <w:lang w:val="en-US"/>
        </w:rPr>
        <w:t>273</w:t>
      </w:r>
      <w:r>
        <w:rPr>
          <w:rFonts w:hint="eastAsia"/>
          <w:color w:val="000000" w:themeColor="text1"/>
          <w:lang w:val="en-US"/>
        </w:rPr>
        <w:t>号），现结合重庆实际，提出以下政策措施。</w:t>
      </w:r>
    </w:p>
    <w:p>
      <w:pPr>
        <w:overflowPunct w:val="0"/>
        <w:adjustRightInd/>
        <w:spacing w:line="240" w:lineRule="auto"/>
        <w:ind w:firstLine="632" w:firstLineChars="200"/>
        <w:rPr>
          <w:rFonts w:eastAsia="方正黑体_GBK" w:cs="方正黑体_GBK"/>
          <w:color w:val="000000" w:themeColor="text1"/>
          <w:lang w:val="en-US"/>
        </w:rPr>
      </w:pPr>
      <w:r>
        <w:rPr>
          <w:rFonts w:hint="eastAsia" w:eastAsia="方正黑体_GBK" w:cs="宋体"/>
          <w:color w:val="000000" w:themeColor="text1"/>
          <w:lang w:val="en-US"/>
        </w:rPr>
        <w:t>一、关于财政税费政策</w:t>
      </w:r>
    </w:p>
    <w:p>
      <w:pPr>
        <w:overflowPunct w:val="0"/>
        <w:adjustRightInd/>
        <w:spacing w:line="240" w:lineRule="auto"/>
        <w:ind w:firstLine="632" w:firstLineChars="200"/>
        <w:rPr>
          <w:color w:val="000000" w:themeColor="text1"/>
          <w:lang w:val="en-US"/>
        </w:rPr>
      </w:pPr>
      <w:r>
        <w:rPr>
          <w:color w:val="000000" w:themeColor="text1"/>
          <w:lang w:val="en-US"/>
        </w:rPr>
        <w:t>1</w:t>
      </w:r>
      <w:r>
        <w:rPr>
          <w:rFonts w:hint="eastAsia"/>
          <w:color w:val="000000" w:themeColor="text1"/>
          <w:lang w:val="en-US"/>
        </w:rPr>
        <w:t>．加大中小微企业设备器具税前扣除力度。落实国家关于中小微企业设备器具所得税税前扣除有关政策规定，中小微企业2022年度内新购置的单位价值500万元以上的设备器具，折旧年限为3年的可选择当年一次性税前扣除，折旧年限为4年、5年、10年的，单位价值的50%可在当年一次性税前扣除，其余50%按规定在剩余年度计算折旧进行税前扣除；企业可按季度享受优惠，当年不足扣除形成的亏损，可按规定在以后5个纳税年度结转扣除。适用此条政策的中小微企业范围：一是信息传输业、建筑业、租赁和商务服务业，标准为从业人员2000人以下，或营业收入10亿元以下，或资产总额12亿元以下；二是房地产开发经营，标准为营业收入20亿元以下或资产总额1亿元以下；三是其他行业，标准为从业人员1000人以下或营业收入4亿元以下。</w:t>
      </w:r>
      <w:r>
        <w:rPr>
          <w:rFonts w:hint="eastAsia" w:eastAsia="方正楷体_GBK"/>
          <w:color w:val="000000" w:themeColor="text1"/>
          <w:lang w:val="en-US"/>
        </w:rPr>
        <w:t>（责任单位：重庆市税务局）</w:t>
      </w:r>
    </w:p>
    <w:p>
      <w:pPr>
        <w:overflowPunct w:val="0"/>
        <w:adjustRightInd/>
        <w:spacing w:line="240" w:lineRule="auto"/>
        <w:ind w:firstLine="632" w:firstLineChars="200"/>
        <w:rPr>
          <w:color w:val="000000" w:themeColor="text1"/>
          <w:lang w:val="en-US"/>
        </w:rPr>
      </w:pPr>
      <w:r>
        <w:rPr>
          <w:color w:val="000000" w:themeColor="text1"/>
          <w:lang w:val="en-US"/>
        </w:rPr>
        <w:t>2</w:t>
      </w:r>
      <w:r>
        <w:rPr>
          <w:rFonts w:hint="eastAsia"/>
          <w:color w:val="000000" w:themeColor="text1"/>
          <w:lang w:val="en-US"/>
        </w:rPr>
        <w:t>．落实国家关于延续实施制造业中小微企业延缓缴纳部分税费的相关规定，将制造业中小微企业延缓缴纳2021年第四季度部分税费的政策，缓缴期限继续延长6个月；延缓缴纳2022年第一季度、第二季度制造业中小微企业部分税费，缓缴期限为6个月；中型企业可以延缓缴纳部分税费金额的50%，小微企业可以全部延缓缴纳部分税费。适用此条政策的部分税费范围：企业所得税、个人所得税、国内增值税、国内消费税及附征的城市维护建设税、教育费附加、地方教育附加，不包括代扣代缴、代收代缴以及向税务机关申请代开发票时缴纳的税费。适用此条政策的制造业中型企业是指国民经济行业分类中行业门类为制造业，且年销售额2000万元以上（含2000万元）4亿元以下（不含4亿元）的企业；制造业小微企业是指国民经济行业分类中行业门类为制造业，且年销售额2000万元以下（不含2000万元）的企业。</w:t>
      </w:r>
      <w:r>
        <w:rPr>
          <w:rFonts w:hint="eastAsia" w:eastAsia="方正楷体_GBK"/>
          <w:color w:val="000000" w:themeColor="text1"/>
          <w:lang w:val="en-US"/>
        </w:rPr>
        <w:t>（责任单位：重庆市税务局）</w:t>
      </w:r>
    </w:p>
    <w:p>
      <w:pPr>
        <w:overflowPunct w:val="0"/>
        <w:adjustRightInd/>
        <w:spacing w:line="240" w:lineRule="auto"/>
        <w:ind w:firstLine="632" w:firstLineChars="200"/>
        <w:rPr>
          <w:color w:val="000000" w:themeColor="text1"/>
          <w:lang w:val="en-US"/>
        </w:rPr>
      </w:pPr>
      <w:r>
        <w:rPr>
          <w:color w:val="000000" w:themeColor="text1"/>
          <w:lang w:val="en-US"/>
        </w:rPr>
        <w:t>3</w:t>
      </w:r>
      <w:r>
        <w:rPr>
          <w:rFonts w:hint="eastAsia"/>
          <w:color w:val="000000" w:themeColor="text1"/>
          <w:lang w:val="en-US"/>
        </w:rPr>
        <w:t>．2022年，落实国家关于新能源汽车相关税收优惠政策的规定，继续免征新能源汽车车船税、车辆购置税，执行国家充电设施奖补、新能源汽车购置补贴等优惠政策；继续实施我市充电设施奖补、新能源公交车购置补贴等配套政策。</w:t>
      </w:r>
      <w:r>
        <w:rPr>
          <w:rFonts w:hint="eastAsia" w:eastAsia="方正楷体_GBK"/>
          <w:color w:val="000000" w:themeColor="text1"/>
          <w:lang w:val="en-US"/>
        </w:rPr>
        <w:t>（责任单位：市经济信息委、市财政局、重庆市税务局、市能源局）</w:t>
      </w:r>
    </w:p>
    <w:p>
      <w:pPr>
        <w:overflowPunct w:val="0"/>
        <w:adjustRightInd/>
        <w:spacing w:line="240" w:lineRule="auto"/>
        <w:ind w:firstLine="632" w:firstLineChars="200"/>
        <w:rPr>
          <w:color w:val="000000" w:themeColor="text1"/>
          <w:lang w:val="en-US"/>
        </w:rPr>
      </w:pPr>
      <w:r>
        <w:rPr>
          <w:color w:val="000000" w:themeColor="text1"/>
          <w:lang w:val="en-US"/>
        </w:rPr>
        <w:t>4</w:t>
      </w:r>
      <w:r>
        <w:rPr>
          <w:rFonts w:hint="eastAsia"/>
          <w:color w:val="000000" w:themeColor="text1"/>
          <w:lang w:val="en-US"/>
        </w:rPr>
        <w:t>．落实国家关于进一步实施小微企业“六税两费”减免政策的相关规定，自2022年1月1日至2024年12月31日，对增值税小规模纳税人、小型微利企业和个体工商户可在50%的税额幅度内减征资源税、城市维护建设税、房产税、城镇土地使用税、印花税（不含证券交易印花税）、耕地占用税和教育费附加、地方教育附加。</w:t>
      </w:r>
      <w:r>
        <w:rPr>
          <w:rFonts w:hint="eastAsia" w:eastAsia="方正楷体_GBK"/>
          <w:color w:val="000000" w:themeColor="text1"/>
          <w:lang w:val="en-US"/>
        </w:rPr>
        <w:t>（责任单位：市财政局、重庆市税务局）</w:t>
      </w:r>
    </w:p>
    <w:p>
      <w:pPr>
        <w:overflowPunct w:val="0"/>
        <w:adjustRightInd/>
        <w:spacing w:line="240" w:lineRule="auto"/>
        <w:ind w:firstLine="632" w:firstLineChars="200"/>
        <w:rPr>
          <w:color w:val="000000" w:themeColor="text1"/>
          <w:lang w:val="en-US"/>
        </w:rPr>
      </w:pPr>
      <w:r>
        <w:rPr>
          <w:rFonts w:hint="eastAsia" w:eastAsia="方正楷体_GBK"/>
          <w:color w:val="000000" w:themeColor="text1"/>
          <w:lang w:val="en-US"/>
        </w:rPr>
        <w:t>5</w:t>
      </w:r>
      <w:r>
        <w:rPr>
          <w:rFonts w:hint="eastAsia"/>
          <w:color w:val="000000" w:themeColor="text1"/>
          <w:lang w:val="en-US"/>
        </w:rPr>
        <w:t>．落实国家对增值税小规模纳税人免征增值税的相关规定，自2022年4月1日至2022年12月31日，增值税小规模纳税人适用3%征收率的应税销售收入，免征增值税；适用3%预征率的预缴增值税项目，暂停预缴增值税。</w:t>
      </w:r>
      <w:r>
        <w:rPr>
          <w:rFonts w:hint="eastAsia" w:eastAsia="方正楷体_GBK"/>
          <w:color w:val="000000" w:themeColor="text1"/>
          <w:lang w:val="en-US"/>
        </w:rPr>
        <w:t>（责任单位：重庆市税务局）</w:t>
      </w:r>
    </w:p>
    <w:p>
      <w:pPr>
        <w:overflowPunct w:val="0"/>
        <w:adjustRightInd/>
        <w:spacing w:line="240" w:lineRule="auto"/>
        <w:ind w:firstLine="632" w:firstLineChars="200"/>
        <w:rPr>
          <w:rFonts w:eastAsia="方正楷体_GBK"/>
          <w:color w:val="000000" w:themeColor="text1"/>
          <w:lang w:val="en-US"/>
        </w:rPr>
      </w:pPr>
      <w:r>
        <w:rPr>
          <w:rFonts w:hint="eastAsia" w:eastAsia="方正楷体_GBK"/>
          <w:color w:val="000000" w:themeColor="text1"/>
          <w:lang w:val="en-US"/>
        </w:rPr>
        <w:t>6</w:t>
      </w:r>
      <w:r>
        <w:rPr>
          <w:rFonts w:hint="eastAsia"/>
          <w:color w:val="000000" w:themeColor="text1"/>
          <w:lang w:val="en-US"/>
        </w:rPr>
        <w:t>．落实国家相关规定，2022年实施大规模增值税期末留抵退税政策，全面覆盖小微企业，重点支持制造业等六大行业。</w:t>
      </w:r>
      <w:r>
        <w:rPr>
          <w:rFonts w:hint="eastAsia" w:eastAsia="方正楷体_GBK"/>
          <w:color w:val="000000" w:themeColor="text1"/>
          <w:lang w:val="en-US"/>
        </w:rPr>
        <w:t>（责任单位：重庆市税务局、市财政局）</w:t>
      </w:r>
    </w:p>
    <w:p>
      <w:pPr>
        <w:overflowPunct w:val="0"/>
        <w:adjustRightInd/>
        <w:spacing w:line="240" w:lineRule="auto"/>
        <w:ind w:firstLine="632" w:firstLineChars="200"/>
        <w:rPr>
          <w:rFonts w:eastAsia="方正楷体_GBK"/>
          <w:color w:val="000000" w:themeColor="text1"/>
          <w:lang w:val="en-US"/>
        </w:rPr>
      </w:pPr>
      <w:r>
        <w:rPr>
          <w:rFonts w:hint="eastAsia" w:eastAsia="方正楷体_GBK"/>
          <w:color w:val="000000" w:themeColor="text1"/>
          <w:lang w:val="en-US"/>
        </w:rPr>
        <w:t>7</w:t>
      </w:r>
      <w:r>
        <w:rPr>
          <w:rFonts w:hint="eastAsia"/>
          <w:color w:val="000000" w:themeColor="text1"/>
          <w:lang w:val="en-US"/>
        </w:rPr>
        <w:t>．落实国家进一步实施小微企业所得税优惠政策的相关规定，2022年1月1日至2024年12月31日，对小型微利企业年应纳税所得额超过100万元但不超过300万元的部分，减按25%计入应纳税所得额，按20%的税率缴纳企业所得税。小型微利企业，是指从事国家非限制和禁止行业，且同时符合年度应纳税所得额不超过300万元、从业人数不超过300人、资产总额不超过5000万元等三个条件的企业。从业人数，包括与企业建立劳动关系的职工人数和企业接受的劳务派遣用工人数。所称从业人数和资产总额指标，应按企业全年的季度平均值确定。</w:t>
      </w:r>
      <w:r>
        <w:rPr>
          <w:rFonts w:hint="eastAsia" w:eastAsia="方正楷体_GBK"/>
          <w:color w:val="000000" w:themeColor="text1"/>
          <w:lang w:val="en-US"/>
        </w:rPr>
        <w:t>（责任单位：重庆市税务局）</w:t>
      </w:r>
    </w:p>
    <w:p>
      <w:pPr>
        <w:overflowPunct w:val="0"/>
        <w:adjustRightInd/>
        <w:spacing w:line="240" w:lineRule="auto"/>
        <w:ind w:firstLine="632" w:firstLineChars="200"/>
        <w:rPr>
          <w:rFonts w:eastAsia="方正楷体_GBK"/>
          <w:color w:val="000000" w:themeColor="text1"/>
          <w:lang w:val="en-US"/>
        </w:rPr>
      </w:pPr>
      <w:r>
        <w:rPr>
          <w:rFonts w:hint="eastAsia"/>
          <w:color w:val="000000" w:themeColor="text1"/>
          <w:lang w:val="en-US"/>
        </w:rPr>
        <w:t>8．降低企业社保负担，</w:t>
      </w:r>
      <w:r>
        <w:rPr>
          <w:color w:val="000000" w:themeColor="text1"/>
          <w:lang w:val="en-US"/>
        </w:rPr>
        <w:t>2022</w:t>
      </w:r>
      <w:r>
        <w:rPr>
          <w:rFonts w:hint="eastAsia"/>
          <w:color w:val="000000" w:themeColor="text1"/>
          <w:lang w:val="en-US"/>
        </w:rPr>
        <w:t>年延续实施阶段性降低失业保险费率政策。</w:t>
      </w:r>
      <w:r>
        <w:rPr>
          <w:rFonts w:hint="eastAsia" w:eastAsia="方正楷体_GBK"/>
          <w:color w:val="000000" w:themeColor="text1"/>
          <w:lang w:val="en-US"/>
        </w:rPr>
        <w:t>（责任单位：市人力社保局、市财政局）</w:t>
      </w:r>
    </w:p>
    <w:p>
      <w:pPr>
        <w:overflowPunct w:val="0"/>
        <w:adjustRightInd/>
        <w:spacing w:line="240" w:lineRule="auto"/>
        <w:ind w:firstLine="632" w:firstLineChars="200"/>
        <w:rPr>
          <w:color w:val="000000" w:themeColor="text1"/>
          <w:lang w:val="en-US"/>
        </w:rPr>
      </w:pPr>
      <w:r>
        <w:rPr>
          <w:rFonts w:hint="eastAsia" w:eastAsia="方正黑体_GBK" w:cs="宋体"/>
          <w:color w:val="000000" w:themeColor="text1"/>
          <w:lang w:val="en-US"/>
        </w:rPr>
        <w:t>二、关于金融信贷政策</w:t>
      </w:r>
    </w:p>
    <w:p>
      <w:pPr>
        <w:overflowPunct w:val="0"/>
        <w:adjustRightInd/>
        <w:spacing w:line="240" w:lineRule="auto"/>
        <w:ind w:firstLine="632" w:firstLineChars="200"/>
        <w:rPr>
          <w:color w:val="000000" w:themeColor="text1"/>
          <w:lang w:val="en-US"/>
        </w:rPr>
      </w:pPr>
      <w:r>
        <w:rPr>
          <w:rFonts w:hint="eastAsia"/>
          <w:color w:val="000000" w:themeColor="text1"/>
          <w:lang w:val="en-US"/>
        </w:rPr>
        <w:t>9．</w:t>
      </w:r>
      <w:r>
        <w:rPr>
          <w:color w:val="000000" w:themeColor="text1"/>
          <w:lang w:val="en-US"/>
        </w:rPr>
        <w:t>2022</w:t>
      </w:r>
      <w:r>
        <w:rPr>
          <w:rFonts w:hint="eastAsia"/>
          <w:color w:val="000000" w:themeColor="text1"/>
          <w:lang w:val="en-US"/>
        </w:rPr>
        <w:t>年督促金融机构加大贷款市场报价利率（</w:t>
      </w:r>
      <w:r>
        <w:rPr>
          <w:color w:val="000000" w:themeColor="text1"/>
          <w:lang w:val="en-US"/>
        </w:rPr>
        <w:t>LPR</w:t>
      </w:r>
      <w:r>
        <w:rPr>
          <w:rFonts w:hint="eastAsia"/>
          <w:color w:val="000000" w:themeColor="text1"/>
          <w:lang w:val="en-US"/>
        </w:rPr>
        <w:t>）运用，落实好</w:t>
      </w:r>
      <w:r>
        <w:rPr>
          <w:color w:val="000000" w:themeColor="text1"/>
          <w:lang w:val="en-US"/>
        </w:rPr>
        <w:t>LPR</w:t>
      </w:r>
      <w:r>
        <w:rPr>
          <w:rFonts w:hint="eastAsia"/>
          <w:color w:val="000000" w:themeColor="text1"/>
          <w:lang w:val="en-US"/>
        </w:rPr>
        <w:t>下行，继续引导金融系统向实体经济让利；发挥政府性融资担保体系增信分险作用，降低小微企业担保费率；落实担保费补贴、创业担保贷款贴息、应急转贷、保险保费补贴等政策，规范融资各环节收费和管理，降低小微企业融资成本。</w:t>
      </w:r>
      <w:r>
        <w:rPr>
          <w:rFonts w:hint="eastAsia" w:eastAsia="方正楷体_GBK"/>
          <w:color w:val="000000" w:themeColor="text1"/>
          <w:lang w:val="en-US"/>
        </w:rPr>
        <w:t>（责任单位：人行重庆营管部、重庆银保监局、市金融监管局、市财政局）</w:t>
      </w:r>
    </w:p>
    <w:p>
      <w:pPr>
        <w:overflowPunct w:val="0"/>
        <w:adjustRightInd/>
        <w:spacing w:line="240" w:lineRule="auto"/>
        <w:ind w:firstLine="632" w:firstLineChars="200"/>
        <w:rPr>
          <w:color w:val="000000" w:themeColor="text1"/>
          <w:lang w:val="en-US"/>
        </w:rPr>
      </w:pPr>
      <w:r>
        <w:rPr>
          <w:rFonts w:hint="eastAsia"/>
          <w:color w:val="000000" w:themeColor="text1"/>
          <w:lang w:val="en-US"/>
        </w:rPr>
        <w:t>10．出台银行业金融机构服务制造业监管评价办法，建立金融机构制造业贷款情况定期通报制度，加强对银行支持制造业发展的考核约束；推动大型国有银行优化经济资本分配，向制造业企业倾斜，督促大型银行优化制造业信贷结构；完善制造业优质项目白名单制度，引导金融机构加大对制造业中长期贷款投放力度，强化对先进制造业、战略性新兴产业等重点领域的资金支持。</w:t>
      </w:r>
      <w:r>
        <w:rPr>
          <w:rFonts w:hint="eastAsia" w:eastAsia="方正楷体_GBK"/>
          <w:color w:val="000000" w:themeColor="text1"/>
          <w:lang w:val="en-US"/>
        </w:rPr>
        <w:t>（责任单位：人行重庆营管部、重庆银保监局、市金融监管局、市发展改革委、市经济信息委、市国资委）</w:t>
      </w:r>
    </w:p>
    <w:p>
      <w:pPr>
        <w:overflowPunct w:val="0"/>
        <w:adjustRightInd/>
        <w:spacing w:line="240" w:lineRule="auto"/>
        <w:ind w:firstLine="632" w:firstLineChars="200"/>
        <w:rPr>
          <w:color w:val="000000" w:themeColor="text1"/>
          <w:lang w:val="en-US"/>
        </w:rPr>
      </w:pPr>
      <w:r>
        <w:rPr>
          <w:rFonts w:hint="eastAsia"/>
          <w:color w:val="000000" w:themeColor="text1"/>
          <w:lang w:val="en-US"/>
        </w:rPr>
        <w:t>11．从</w:t>
      </w:r>
      <w:r>
        <w:rPr>
          <w:color w:val="000000" w:themeColor="text1"/>
          <w:lang w:val="en-US"/>
        </w:rPr>
        <w:t>2022</w:t>
      </w:r>
      <w:r>
        <w:rPr>
          <w:rFonts w:hint="eastAsia"/>
          <w:color w:val="000000" w:themeColor="text1"/>
          <w:lang w:val="en-US"/>
        </w:rPr>
        <w:t>年起到</w:t>
      </w:r>
      <w:r>
        <w:rPr>
          <w:color w:val="000000" w:themeColor="text1"/>
          <w:lang w:val="en-US"/>
        </w:rPr>
        <w:t>2023</w:t>
      </w:r>
      <w:r>
        <w:rPr>
          <w:rFonts w:hint="eastAsia"/>
          <w:color w:val="000000" w:themeColor="text1"/>
          <w:lang w:val="en-US"/>
        </w:rPr>
        <w:t>年</w:t>
      </w:r>
      <w:r>
        <w:rPr>
          <w:color w:val="000000" w:themeColor="text1"/>
          <w:lang w:val="en-US"/>
        </w:rPr>
        <w:t>6</w:t>
      </w:r>
      <w:r>
        <w:rPr>
          <w:rFonts w:hint="eastAsia"/>
          <w:color w:val="000000" w:themeColor="text1"/>
          <w:lang w:val="en-US"/>
        </w:rPr>
        <w:t>月底，人民银行对符合条件的地方法人银行发放的普惠小微贷款，按照贷款余额季度环比增量的</w:t>
      </w:r>
      <w:r>
        <w:rPr>
          <w:color w:val="000000" w:themeColor="text1"/>
          <w:lang w:val="en-US"/>
        </w:rPr>
        <w:t>1%</w:t>
      </w:r>
      <w:r>
        <w:rPr>
          <w:rFonts w:hint="eastAsia"/>
          <w:color w:val="000000" w:themeColor="text1"/>
          <w:lang w:val="en-US"/>
        </w:rPr>
        <w:t>提供资金激励；继续用好支农支小再贷款，支持符合条件的地方法人银行按照市场化原则加大普惠小微信用贷款投放力度。</w:t>
      </w:r>
      <w:r>
        <w:rPr>
          <w:rFonts w:hint="eastAsia" w:eastAsia="方正楷体_GBK"/>
          <w:color w:val="000000" w:themeColor="text1"/>
          <w:lang w:val="en-US"/>
        </w:rPr>
        <w:t>（责任单位：人行重庆营管部）</w:t>
      </w:r>
    </w:p>
    <w:p>
      <w:pPr>
        <w:overflowPunct w:val="0"/>
        <w:adjustRightInd/>
        <w:spacing w:line="240" w:lineRule="auto"/>
        <w:ind w:firstLine="632" w:firstLineChars="200"/>
        <w:rPr>
          <w:color w:val="000000" w:themeColor="text1"/>
          <w:lang w:val="en-US"/>
        </w:rPr>
      </w:pPr>
      <w:r>
        <w:rPr>
          <w:rFonts w:hint="eastAsia"/>
          <w:color w:val="000000" w:themeColor="text1"/>
          <w:lang w:val="en-US"/>
        </w:rPr>
        <w:t>12．落实煤电等行业绿色低碳转型金融政策，建立碳减排和煤炭清洁高效利用等重点项目清单，用好碳减排支持工具和支持煤炭清洁高效利用专项再贷款；依托“长江绿融通”绿色金融大数据综合服务系统，加强重点项目融资对接和监测督导，推动金融机构加快信贷投放；对</w:t>
      </w:r>
      <w:r>
        <w:rPr>
          <w:color w:val="000000" w:themeColor="text1"/>
          <w:lang w:val="en-US"/>
        </w:rPr>
        <w:t>2022</w:t>
      </w:r>
      <w:r>
        <w:rPr>
          <w:rFonts w:hint="eastAsia"/>
          <w:color w:val="000000" w:themeColor="text1"/>
          <w:lang w:val="en-US"/>
        </w:rPr>
        <w:t>年新发放的碳减排贷款，最高按照贷款本金的</w:t>
      </w:r>
      <w:r>
        <w:rPr>
          <w:color w:val="000000" w:themeColor="text1"/>
          <w:lang w:val="en-US"/>
        </w:rPr>
        <w:t>2</w:t>
      </w:r>
      <w:r>
        <w:rPr>
          <w:rFonts w:hint="default" w:ascii="Times New Roman" w:hAnsi="Times New Roman" w:cs="Times New Roman"/>
          <w:color w:val="000000" w:themeColor="text1"/>
          <w:lang w:val="en-US"/>
        </w:rPr>
        <w:t>‰</w:t>
      </w:r>
      <w:r>
        <w:rPr>
          <w:rFonts w:hint="eastAsia"/>
          <w:color w:val="000000" w:themeColor="text1"/>
          <w:lang w:val="en-US"/>
        </w:rPr>
        <w:t>予以补贴；组建气候投融资产业促进平台，引导资本等要素向绿色低碳领域聚集。</w:t>
      </w:r>
      <w:r>
        <w:rPr>
          <w:rFonts w:hint="eastAsia" w:eastAsia="方正楷体_GBK"/>
          <w:color w:val="000000" w:themeColor="text1"/>
          <w:lang w:val="en-US"/>
        </w:rPr>
        <w:t>（责任单位：人行重庆营管部、市发展改革委、市经济信息委、市生态环境局、市财政局、重庆银保监局、市金融监管局）</w:t>
      </w:r>
    </w:p>
    <w:p>
      <w:pPr>
        <w:overflowPunct w:val="0"/>
        <w:adjustRightInd/>
        <w:spacing w:line="240" w:lineRule="auto"/>
        <w:ind w:firstLine="632" w:firstLineChars="200"/>
        <w:rPr>
          <w:color w:val="000000" w:themeColor="text1"/>
          <w:lang w:val="en-US"/>
        </w:rPr>
      </w:pPr>
      <w:r>
        <w:rPr>
          <w:rFonts w:hint="eastAsia" w:eastAsia="方正黑体_GBK" w:cs="宋体"/>
          <w:color w:val="000000" w:themeColor="text1"/>
          <w:lang w:val="en-US"/>
        </w:rPr>
        <w:t>三、关于保供稳价政策</w:t>
      </w:r>
    </w:p>
    <w:p>
      <w:pPr>
        <w:overflowPunct w:val="0"/>
        <w:adjustRightInd/>
        <w:spacing w:line="240" w:lineRule="auto"/>
        <w:ind w:firstLine="632" w:firstLineChars="200"/>
        <w:rPr>
          <w:color w:val="000000" w:themeColor="text1"/>
          <w:lang w:val="en-US"/>
        </w:rPr>
      </w:pPr>
      <w:r>
        <w:rPr>
          <w:color w:val="000000" w:themeColor="text1"/>
          <w:lang w:val="en-US"/>
        </w:rPr>
        <w:t>1</w:t>
      </w:r>
      <w:r>
        <w:rPr>
          <w:rFonts w:hint="eastAsia"/>
          <w:color w:val="000000" w:themeColor="text1"/>
          <w:lang w:val="en-US"/>
        </w:rPr>
        <w:t>3．坚持绿色发展，整合差别电价、阶梯电价、惩罚性电价等差别化电价政策，建立统一的高耗能行业阶梯电价制度，对能效达到基准水平的存量企业和能效达到标杆水平的在建、拟建企业用电不加价，未达到的根据能效水平差距实行阶梯电价，加价电费专项用于支持企业节能减污降碳技术改造。</w:t>
      </w:r>
      <w:r>
        <w:rPr>
          <w:rFonts w:hint="eastAsia" w:eastAsia="方正楷体_GBK"/>
          <w:color w:val="000000" w:themeColor="text1"/>
          <w:lang w:val="en-US"/>
        </w:rPr>
        <w:t>（责任单位：市发展改革委、市经济信息委）</w:t>
      </w:r>
    </w:p>
    <w:p>
      <w:pPr>
        <w:overflowPunct w:val="0"/>
        <w:adjustRightInd/>
        <w:spacing w:line="240" w:lineRule="auto"/>
        <w:ind w:firstLine="632" w:firstLineChars="200"/>
        <w:rPr>
          <w:color w:val="000000" w:themeColor="text1"/>
          <w:lang w:val="en-US"/>
        </w:rPr>
      </w:pPr>
      <w:r>
        <w:rPr>
          <w:color w:val="000000" w:themeColor="text1"/>
          <w:lang w:val="en-US"/>
        </w:rPr>
        <w:t>1</w:t>
      </w:r>
      <w:r>
        <w:rPr>
          <w:rFonts w:hint="eastAsia"/>
          <w:color w:val="000000" w:themeColor="text1"/>
          <w:lang w:val="en-US"/>
        </w:rPr>
        <w:t>4．定期开展大宗商品价格监测预警，强化工业经济运行调度，帮助原材料行业企业组织货源、协调运输、稳定生产；持续督促我市期货经营机构严格落实期货市场交易结算风控措施；支持企业运用期货及衍生品工具应对重要原材料等大宗商品价格波动风险。</w:t>
      </w:r>
      <w:r>
        <w:rPr>
          <w:rFonts w:hint="eastAsia" w:eastAsia="方正楷体_GBK"/>
          <w:color w:val="000000" w:themeColor="text1"/>
          <w:lang w:val="en-US"/>
        </w:rPr>
        <w:t>（责任单位：市经济信息委、市发展改革委、重庆证监局）</w:t>
      </w:r>
    </w:p>
    <w:p>
      <w:pPr>
        <w:overflowPunct w:val="0"/>
        <w:adjustRightInd/>
        <w:spacing w:line="240" w:lineRule="auto"/>
        <w:ind w:firstLine="632" w:firstLineChars="200"/>
        <w:rPr>
          <w:color w:val="000000" w:themeColor="text1"/>
          <w:lang w:val="en-US"/>
        </w:rPr>
      </w:pPr>
      <w:r>
        <w:rPr>
          <w:color w:val="000000" w:themeColor="text1"/>
          <w:lang w:val="en-US"/>
        </w:rPr>
        <w:t>1</w:t>
      </w:r>
      <w:r>
        <w:rPr>
          <w:rFonts w:hint="eastAsia"/>
          <w:color w:val="000000" w:themeColor="text1"/>
          <w:lang w:val="en-US"/>
        </w:rPr>
        <w:t>5．支持企业投资开发国内具备资源条件、符合生态环境保护要求的矿产开发项目，加强战略性矿产资源储备；推动废钢、废有色金属、废纸等再生资源综合利用，提高“城市矿山”对资源的保障能力；制定废旧物资循环利用实施方案，培育一批固体废物回收利用处置和再生资源回收利用骨干企业，建设固体废物资源化利用基地，对工业资源综合利用重点项目给予专项资金支持。</w:t>
      </w:r>
      <w:r>
        <w:rPr>
          <w:rFonts w:hint="eastAsia" w:eastAsia="方正楷体_GBK"/>
          <w:color w:val="000000" w:themeColor="text1"/>
          <w:lang w:val="en-US"/>
        </w:rPr>
        <w:t>（责任单位：市发展改革委、市经济信息委、市规划自然资源局、市商务委）</w:t>
      </w:r>
    </w:p>
    <w:p>
      <w:pPr>
        <w:overflowPunct w:val="0"/>
        <w:adjustRightInd/>
        <w:spacing w:line="240" w:lineRule="auto"/>
        <w:ind w:firstLine="632" w:firstLineChars="200"/>
        <w:rPr>
          <w:rFonts w:eastAsia="方正黑体_GBK" w:cs="方正黑体_GBK"/>
          <w:color w:val="000000" w:themeColor="text1"/>
          <w:lang w:val="en-US"/>
        </w:rPr>
      </w:pPr>
      <w:r>
        <w:rPr>
          <w:rFonts w:hint="eastAsia" w:eastAsia="方正黑体_GBK" w:cs="宋体"/>
          <w:color w:val="000000" w:themeColor="text1"/>
          <w:lang w:val="en-US"/>
        </w:rPr>
        <w:t>四、关于投资和外贸外资政策</w:t>
      </w:r>
    </w:p>
    <w:p>
      <w:pPr>
        <w:overflowPunct w:val="0"/>
        <w:adjustRightInd/>
        <w:spacing w:line="240" w:lineRule="auto"/>
        <w:ind w:firstLine="632" w:firstLineChars="200"/>
        <w:rPr>
          <w:color w:val="000000" w:themeColor="text1"/>
          <w:lang w:val="en-US"/>
        </w:rPr>
      </w:pPr>
      <w:r>
        <w:rPr>
          <w:color w:val="000000" w:themeColor="text1"/>
          <w:lang w:val="en-US"/>
        </w:rPr>
        <w:t>1</w:t>
      </w:r>
      <w:r>
        <w:rPr>
          <w:rFonts w:hint="eastAsia"/>
          <w:color w:val="000000" w:themeColor="text1"/>
          <w:lang w:val="en-US"/>
        </w:rPr>
        <w:t>6．加快推进全市风光等新能源开发，帮助企业协调用地等相关前期工作，支持具备条件的光伏项目开工建设；指导电网企业落实清洁能源消纳实施方案，促进全市清洁能源消纳。</w:t>
      </w:r>
      <w:r>
        <w:rPr>
          <w:rFonts w:hint="eastAsia" w:eastAsia="方正楷体_GBK"/>
          <w:color w:val="000000" w:themeColor="text1"/>
          <w:lang w:val="en-US"/>
        </w:rPr>
        <w:t>（责任单位：市能源局、市经济信息委）</w:t>
      </w:r>
    </w:p>
    <w:p>
      <w:pPr>
        <w:overflowPunct w:val="0"/>
        <w:adjustRightInd/>
        <w:spacing w:line="240" w:lineRule="auto"/>
        <w:ind w:firstLine="632" w:firstLineChars="200"/>
        <w:rPr>
          <w:color w:val="000000" w:themeColor="text1"/>
          <w:lang w:val="en-US"/>
        </w:rPr>
      </w:pPr>
      <w:r>
        <w:rPr>
          <w:color w:val="000000" w:themeColor="text1"/>
          <w:lang w:val="en-US"/>
        </w:rPr>
        <w:t>1</w:t>
      </w:r>
      <w:r>
        <w:rPr>
          <w:rFonts w:hint="eastAsia"/>
          <w:color w:val="000000" w:themeColor="text1"/>
          <w:lang w:val="en-US"/>
        </w:rPr>
        <w:t>7．制定我市煤电改造升级实施方案，推进供电煤耗</w:t>
      </w:r>
      <w:r>
        <w:rPr>
          <w:color w:val="000000" w:themeColor="text1"/>
          <w:lang w:val="en-US"/>
        </w:rPr>
        <w:t>300</w:t>
      </w:r>
      <w:r>
        <w:rPr>
          <w:rFonts w:hint="eastAsia"/>
          <w:color w:val="000000" w:themeColor="text1"/>
          <w:lang w:val="en-US"/>
        </w:rPr>
        <w:t>克标准煤/千瓦时以上煤电机组改造升级，加快完成供热机组改造；加快外电入渝通道和支撑性保障电源规划建设，协助项目尽快取得用电、环保等要件，推动项目及早开工、建设投产，带动装备制造业投资。</w:t>
      </w:r>
      <w:r>
        <w:rPr>
          <w:rFonts w:hint="eastAsia" w:eastAsia="方正楷体_GBK"/>
          <w:color w:val="000000" w:themeColor="text1"/>
          <w:lang w:val="en-US"/>
        </w:rPr>
        <w:t>（责任单位：市经济信息委、市能源局）</w:t>
      </w:r>
    </w:p>
    <w:p>
      <w:pPr>
        <w:overflowPunct w:val="0"/>
        <w:adjustRightInd/>
        <w:spacing w:line="240" w:lineRule="auto"/>
        <w:ind w:firstLine="632" w:firstLineChars="200"/>
        <w:rPr>
          <w:color w:val="000000" w:themeColor="text1"/>
          <w:lang w:val="en-US"/>
        </w:rPr>
      </w:pPr>
      <w:r>
        <w:rPr>
          <w:color w:val="000000" w:themeColor="text1"/>
          <w:lang w:val="en-US"/>
        </w:rPr>
        <w:t>1</w:t>
      </w:r>
      <w:r>
        <w:rPr>
          <w:rFonts w:hint="eastAsia"/>
          <w:color w:val="000000" w:themeColor="text1"/>
          <w:lang w:val="en-US"/>
        </w:rPr>
        <w:t>8．制定我市冶金、建材、石化化工等重点领域节能降碳企业技术改造实施方案，整合各项政策工具，加大对企业节能降碳技术改造项目支持力度。</w:t>
      </w:r>
      <w:r>
        <w:rPr>
          <w:rFonts w:hint="eastAsia" w:eastAsia="方正楷体_GBK"/>
          <w:color w:val="000000" w:themeColor="text1"/>
          <w:lang w:val="en-US"/>
        </w:rPr>
        <w:t>（责任单位：市发展改革委、市经济信息委）</w:t>
      </w:r>
    </w:p>
    <w:p>
      <w:pPr>
        <w:overflowPunct w:val="0"/>
        <w:adjustRightInd/>
        <w:spacing w:line="240" w:lineRule="auto"/>
        <w:ind w:firstLine="632" w:firstLineChars="200"/>
        <w:rPr>
          <w:color w:val="000000" w:themeColor="text1"/>
          <w:lang w:val="en-US"/>
        </w:rPr>
      </w:pPr>
      <w:r>
        <w:rPr>
          <w:color w:val="000000" w:themeColor="text1"/>
          <w:lang w:val="en-US"/>
        </w:rPr>
        <w:t>1</w:t>
      </w:r>
      <w:r>
        <w:rPr>
          <w:rFonts w:hint="eastAsia"/>
          <w:color w:val="000000" w:themeColor="text1"/>
          <w:lang w:val="en-US"/>
        </w:rPr>
        <w:t>9．落实国家制造业核心竞争力提升五年行动计划，组织实施一批我市先进制造业和战略性新兴产业重大项目，对符合条件的项目组织申报国家制造业发展和产业基础再造等专项，加快推动市级重点关键产业园建设，组织有条件的区县申报国家级先进制造业集群。</w:t>
      </w:r>
      <w:r>
        <w:rPr>
          <w:rFonts w:hint="eastAsia" w:eastAsia="方正楷体_GBK"/>
          <w:color w:val="000000" w:themeColor="text1"/>
          <w:lang w:val="en-US"/>
        </w:rPr>
        <w:t>（责任单位：市发展改革委、市经济信息委）</w:t>
      </w:r>
    </w:p>
    <w:p>
      <w:pPr>
        <w:overflowPunct w:val="0"/>
        <w:adjustRightInd/>
        <w:spacing w:line="240" w:lineRule="auto"/>
        <w:ind w:firstLine="632" w:firstLineChars="200"/>
        <w:rPr>
          <w:color w:val="000000" w:themeColor="text1"/>
          <w:lang w:val="en-US"/>
        </w:rPr>
      </w:pPr>
      <w:r>
        <w:rPr>
          <w:rFonts w:hint="eastAsia"/>
          <w:color w:val="000000" w:themeColor="text1"/>
          <w:lang w:val="en-US"/>
        </w:rPr>
        <w:t>20．聚焦</w:t>
      </w:r>
      <w:r>
        <w:rPr>
          <w:color w:val="000000" w:themeColor="text1"/>
          <w:lang w:val="en-US"/>
        </w:rPr>
        <w:t>33</w:t>
      </w:r>
      <w:r>
        <w:rPr>
          <w:rFonts w:hint="eastAsia"/>
          <w:color w:val="000000" w:themeColor="text1"/>
          <w:lang w:val="en-US"/>
        </w:rPr>
        <w:t>条重点产业链，分链条制定具体工作举措，培育领军企业和“链主”企业，推进制造业强链补链；实施“专精特新”企业高质量发展专项行动计划，持续加大财政资金支持，培育评定一批市级“专精特新”中小企业。</w:t>
      </w:r>
      <w:r>
        <w:rPr>
          <w:rFonts w:hint="eastAsia" w:eastAsia="方正楷体_GBK"/>
          <w:color w:val="000000" w:themeColor="text1"/>
          <w:lang w:val="en-US"/>
        </w:rPr>
        <w:t>（责任单位：市经济信息委、市科技局、市财政局）</w:t>
      </w:r>
    </w:p>
    <w:p>
      <w:pPr>
        <w:overflowPunct w:val="0"/>
        <w:adjustRightInd/>
        <w:spacing w:line="240" w:lineRule="auto"/>
        <w:ind w:firstLine="632" w:firstLineChars="200"/>
        <w:rPr>
          <w:color w:val="000000" w:themeColor="text1"/>
          <w:lang w:val="en-US"/>
        </w:rPr>
      </w:pPr>
      <w:r>
        <w:rPr>
          <w:rFonts w:hint="eastAsia"/>
          <w:color w:val="000000" w:themeColor="text1"/>
          <w:lang w:val="en-US"/>
        </w:rPr>
        <w:t>21．推动内河老旧船舶更新改造，对航运企业使用新建长度</w:t>
      </w:r>
      <w:r>
        <w:rPr>
          <w:color w:val="000000" w:themeColor="text1"/>
          <w:lang w:val="en-US"/>
        </w:rPr>
        <w:t>130</w:t>
      </w:r>
      <w:r>
        <w:rPr>
          <w:rFonts w:hint="eastAsia"/>
          <w:color w:val="000000" w:themeColor="text1"/>
          <w:lang w:val="en-US"/>
        </w:rPr>
        <w:t>米标准化船舶的，按照《重庆市支持口岸物流高质量发展若干政策》文件规定执行奖励。</w:t>
      </w:r>
      <w:r>
        <w:rPr>
          <w:rFonts w:hint="eastAsia" w:eastAsia="方正楷体_GBK"/>
          <w:color w:val="000000" w:themeColor="text1"/>
          <w:lang w:val="en-US"/>
        </w:rPr>
        <w:t>（责任单位：市政府口岸物流办、市交通局）</w:t>
      </w:r>
    </w:p>
    <w:p>
      <w:pPr>
        <w:overflowPunct w:val="0"/>
        <w:adjustRightInd/>
        <w:spacing w:line="240" w:lineRule="auto"/>
        <w:ind w:firstLine="632" w:firstLineChars="200"/>
        <w:rPr>
          <w:color w:val="000000" w:themeColor="text1"/>
          <w:lang w:val="en-US"/>
        </w:rPr>
      </w:pPr>
      <w:r>
        <w:rPr>
          <w:rFonts w:hint="eastAsia"/>
          <w:color w:val="000000" w:themeColor="text1"/>
          <w:lang w:val="en-US"/>
        </w:rPr>
        <w:t>22．建立全市新型基础设施项目库，推动重点项目加快建设；完善</w:t>
      </w:r>
      <w:r>
        <w:rPr>
          <w:color w:val="000000" w:themeColor="text1"/>
          <w:lang w:val="en-US"/>
        </w:rPr>
        <w:t>5G</w:t>
      </w:r>
      <w:r>
        <w:rPr>
          <w:rFonts w:hint="eastAsia"/>
          <w:color w:val="000000" w:themeColor="text1"/>
          <w:lang w:val="en-US"/>
        </w:rPr>
        <w:t>通信网建设标准体系，引导电信运营商加快</w:t>
      </w:r>
      <w:r>
        <w:rPr>
          <w:color w:val="000000" w:themeColor="text1"/>
          <w:lang w:val="en-US"/>
        </w:rPr>
        <w:t>5G</w:t>
      </w:r>
      <w:r>
        <w:rPr>
          <w:rFonts w:hint="eastAsia"/>
          <w:color w:val="000000" w:themeColor="text1"/>
          <w:lang w:val="en-US"/>
        </w:rPr>
        <w:t>建设，组织企业申报国家相关专项；用好工业和信息化专项资金，支持工业企业数字化改造升级，</w:t>
      </w:r>
      <w:r>
        <w:rPr>
          <w:color w:val="000000" w:themeColor="text1"/>
          <w:lang w:val="en-US"/>
        </w:rPr>
        <w:t>2022</w:t>
      </w:r>
      <w:r>
        <w:rPr>
          <w:rFonts w:hint="eastAsia"/>
          <w:color w:val="000000" w:themeColor="text1"/>
          <w:lang w:val="en-US"/>
        </w:rPr>
        <w:t>年推动建设</w:t>
      </w:r>
      <w:r>
        <w:rPr>
          <w:color w:val="000000" w:themeColor="text1"/>
          <w:lang w:val="en-US"/>
        </w:rPr>
        <w:t>10</w:t>
      </w:r>
      <w:r>
        <w:rPr>
          <w:rFonts w:hint="eastAsia"/>
          <w:color w:val="000000" w:themeColor="text1"/>
          <w:lang w:val="en-US"/>
        </w:rPr>
        <w:t>个智能工厂和</w:t>
      </w:r>
      <w:r>
        <w:rPr>
          <w:color w:val="000000" w:themeColor="text1"/>
          <w:lang w:val="en-US"/>
        </w:rPr>
        <w:t>100</w:t>
      </w:r>
      <w:r>
        <w:rPr>
          <w:rFonts w:hint="eastAsia"/>
          <w:color w:val="000000" w:themeColor="text1"/>
          <w:lang w:val="en-US"/>
        </w:rPr>
        <w:t>个数字化车间，建设</w:t>
      </w:r>
      <w:r>
        <w:rPr>
          <w:color w:val="000000" w:themeColor="text1"/>
          <w:lang w:val="en-US"/>
        </w:rPr>
        <w:t>10</w:t>
      </w:r>
      <w:r>
        <w:rPr>
          <w:rFonts w:hint="eastAsia"/>
          <w:color w:val="000000" w:themeColor="text1"/>
          <w:lang w:val="en-US"/>
        </w:rPr>
        <w:t>个新一代信息技术创新应用示范。</w:t>
      </w:r>
      <w:r>
        <w:rPr>
          <w:rFonts w:hint="eastAsia" w:eastAsia="方正楷体_GBK"/>
          <w:color w:val="000000" w:themeColor="text1"/>
          <w:lang w:val="en-US"/>
        </w:rPr>
        <w:t>（责任单位：市发展改革委、市经济信息委、市通信管理局、市财政局）</w:t>
      </w:r>
    </w:p>
    <w:p>
      <w:pPr>
        <w:overflowPunct w:val="0"/>
        <w:adjustRightInd/>
        <w:spacing w:line="240" w:lineRule="auto"/>
        <w:ind w:firstLine="632" w:firstLineChars="200"/>
        <w:rPr>
          <w:color w:val="000000" w:themeColor="text1"/>
          <w:lang w:val="en-US"/>
        </w:rPr>
      </w:pPr>
      <w:r>
        <w:rPr>
          <w:color w:val="000000" w:themeColor="text1"/>
          <w:lang w:val="en-US"/>
        </w:rPr>
        <w:t>2</w:t>
      </w:r>
      <w:r>
        <w:rPr>
          <w:rFonts w:hint="eastAsia"/>
          <w:color w:val="000000" w:themeColor="text1"/>
          <w:lang w:val="en-US"/>
        </w:rPr>
        <w:t>3．制定我市北斗导航产业发展实施方案，在汽车装备、移动通信设备等领域推动北斗系统规模化应用和智慧城市试点；依托重点企业和单位，争取国家相关专项支持。</w:t>
      </w:r>
      <w:r>
        <w:rPr>
          <w:rFonts w:hint="eastAsia" w:eastAsia="方正楷体_GBK"/>
          <w:color w:val="000000" w:themeColor="text1"/>
          <w:lang w:val="en-US"/>
        </w:rPr>
        <w:t>（责任单位：市发展改革委、市经济信息委、市通信管理局）</w:t>
      </w:r>
    </w:p>
    <w:p>
      <w:pPr>
        <w:overflowPunct w:val="0"/>
        <w:adjustRightInd/>
        <w:spacing w:line="240" w:lineRule="auto"/>
        <w:ind w:firstLine="632" w:firstLineChars="200"/>
        <w:rPr>
          <w:color w:val="000000" w:themeColor="text1"/>
          <w:lang w:val="en-US"/>
        </w:rPr>
      </w:pPr>
      <w:r>
        <w:rPr>
          <w:color w:val="000000" w:themeColor="text1"/>
          <w:lang w:val="en-US"/>
        </w:rPr>
        <w:t>2</w:t>
      </w:r>
      <w:r>
        <w:rPr>
          <w:rFonts w:hint="eastAsia"/>
          <w:color w:val="000000" w:themeColor="text1"/>
          <w:lang w:val="en-US"/>
        </w:rPr>
        <w:t>4．落实国家大数据中心建设专项行动，支持企业积极参与国家“东数西算”工程建设；支持数据中心绿色高效用能，对同时满足符合我市相关规划布局，纳入全国一体化算力网络的国家枢纽节点且</w:t>
      </w:r>
      <w:r>
        <w:rPr>
          <w:color w:val="000000" w:themeColor="text1"/>
          <w:lang w:val="en-US"/>
        </w:rPr>
        <w:t>PUE</w:t>
      </w:r>
      <w:r>
        <w:rPr>
          <w:rFonts w:hint="eastAsia"/>
          <w:color w:val="000000" w:themeColor="text1"/>
          <w:lang w:val="en-US"/>
        </w:rPr>
        <w:t>值（电能利用效率）≤</w:t>
      </w:r>
      <w:r>
        <w:rPr>
          <w:color w:val="000000" w:themeColor="text1"/>
          <w:lang w:val="en-US"/>
        </w:rPr>
        <w:t>1</w:t>
      </w:r>
      <w:r>
        <w:rPr>
          <w:rFonts w:hint="eastAsia"/>
          <w:color w:val="000000" w:themeColor="text1"/>
          <w:lang w:val="en-US"/>
        </w:rPr>
        <w:t>.</w:t>
      </w:r>
      <w:r>
        <w:rPr>
          <w:color w:val="000000" w:themeColor="text1"/>
          <w:lang w:val="en-US"/>
        </w:rPr>
        <w:t>25</w:t>
      </w:r>
      <w:r>
        <w:rPr>
          <w:rFonts w:hint="eastAsia"/>
          <w:color w:val="000000" w:themeColor="text1"/>
          <w:lang w:val="en-US"/>
        </w:rPr>
        <w:t>的新建数据中心项目，原则上可由市级统筹支持部分的项目能耗。</w:t>
      </w:r>
      <w:r>
        <w:rPr>
          <w:rFonts w:hint="eastAsia" w:eastAsia="方正楷体_GBK"/>
          <w:color w:val="000000" w:themeColor="text1"/>
          <w:lang w:val="en-US"/>
        </w:rPr>
        <w:t>（责任单位：市大数据发展局、市通信管理局、市发展改革委、市经济信息委）</w:t>
      </w:r>
    </w:p>
    <w:p>
      <w:pPr>
        <w:overflowPunct w:val="0"/>
        <w:adjustRightInd/>
        <w:spacing w:line="240" w:lineRule="auto"/>
        <w:ind w:firstLine="632" w:firstLineChars="200"/>
        <w:rPr>
          <w:color w:val="000000" w:themeColor="text1"/>
          <w:lang w:val="en-US"/>
        </w:rPr>
      </w:pPr>
      <w:r>
        <w:rPr>
          <w:color w:val="000000" w:themeColor="text1"/>
          <w:lang w:val="en-US"/>
        </w:rPr>
        <w:t>2</w:t>
      </w:r>
      <w:r>
        <w:rPr>
          <w:rFonts w:hint="eastAsia"/>
          <w:color w:val="000000" w:themeColor="text1"/>
          <w:lang w:val="en-US"/>
        </w:rPr>
        <w:t>5．支持符合条件的项目发行基础设施领域不动产投资信托基金（</w:t>
      </w:r>
      <w:r>
        <w:rPr>
          <w:color w:val="000000" w:themeColor="text1"/>
          <w:lang w:val="en-US"/>
        </w:rPr>
        <w:t>REITs</w:t>
      </w:r>
      <w:r>
        <w:rPr>
          <w:rFonts w:hint="eastAsia"/>
          <w:color w:val="000000" w:themeColor="text1"/>
          <w:lang w:val="en-US"/>
        </w:rPr>
        <w:t>），有效盘活存量资产，形成存量资产和新增投资的良性循环。</w:t>
      </w:r>
      <w:r>
        <w:rPr>
          <w:rFonts w:hint="eastAsia" w:eastAsia="方正楷体_GBK"/>
          <w:color w:val="000000" w:themeColor="text1"/>
          <w:lang w:val="en-US"/>
        </w:rPr>
        <w:t>（责任单位：市发展改革委、市财政局、市金融监管局、重庆证监局）</w:t>
      </w:r>
    </w:p>
    <w:p>
      <w:pPr>
        <w:overflowPunct w:val="0"/>
        <w:adjustRightInd/>
        <w:spacing w:line="240" w:lineRule="auto"/>
        <w:ind w:firstLine="632" w:firstLineChars="200"/>
        <w:rPr>
          <w:color w:val="000000" w:themeColor="text1"/>
          <w:lang w:val="en-US"/>
        </w:rPr>
      </w:pPr>
      <w:r>
        <w:rPr>
          <w:color w:val="000000" w:themeColor="text1"/>
          <w:lang w:val="en-US"/>
        </w:rPr>
        <w:t>2</w:t>
      </w:r>
      <w:r>
        <w:rPr>
          <w:rFonts w:hint="eastAsia"/>
          <w:color w:val="000000" w:themeColor="text1"/>
          <w:lang w:val="en-US"/>
        </w:rPr>
        <w:t>6．引导金融机构加强大数据、区块链等新技术在外贸新业态新模式金融服务领域的运用，针对性提供在线智能金融产品和服务；支持企业参与海外仓建设和布局重点市场海外仓，在企业海外仓租赁、建设、运营等不同阶段，引导金融机构为企业提供全球开户、货押融资、内保外贷、租赁保函等针对性产品和服务。</w:t>
      </w:r>
      <w:r>
        <w:rPr>
          <w:rFonts w:hint="eastAsia" w:eastAsia="方正楷体_GBK"/>
          <w:color w:val="000000" w:themeColor="text1"/>
          <w:lang w:val="en-US"/>
        </w:rPr>
        <w:t>（责任单位：重庆银保监局、市经济信息委、市政府口岸物流办、市商务委）</w:t>
      </w:r>
    </w:p>
    <w:p>
      <w:pPr>
        <w:overflowPunct w:val="0"/>
        <w:adjustRightInd/>
        <w:spacing w:line="240" w:lineRule="auto"/>
        <w:ind w:firstLine="632" w:firstLineChars="200"/>
        <w:rPr>
          <w:color w:val="000000" w:themeColor="text1"/>
          <w:lang w:val="en-US"/>
        </w:rPr>
      </w:pPr>
      <w:r>
        <w:rPr>
          <w:color w:val="000000" w:themeColor="text1"/>
          <w:lang w:val="en-US"/>
        </w:rPr>
        <w:t>2</w:t>
      </w:r>
      <w:r>
        <w:rPr>
          <w:rFonts w:hint="eastAsia"/>
          <w:color w:val="000000" w:themeColor="text1"/>
          <w:lang w:val="en-US"/>
        </w:rPr>
        <w:t>7．稳定中欧班列开行，为企业提供高效安全向西通道，加大本地客户及重点客户支持力度，健全舱位分配机制，加大高品质回程货源挖掘，支持拓展适运货品“运贸一体化”业务；深化西部陆海新通道沿线产业协作，提升“多程转关”通关便利水平，通过协调降费让利、下浮运价，降低企业综合成本；落实沪渝直达快线航线奖补等政策，加强协调外贸企业与航运企业签订长期协议，鼓励中小微外贸企业向航运企业直接订舱；加强口岸收费行为监管，依法查处违法违规收费行为。</w:t>
      </w:r>
      <w:r>
        <w:rPr>
          <w:rFonts w:hint="eastAsia" w:eastAsia="方正楷体_GBK"/>
          <w:color w:val="000000" w:themeColor="text1"/>
          <w:lang w:val="en-US"/>
        </w:rPr>
        <w:t>（责任单位：市政府口岸物流办、市市场监管局）</w:t>
      </w:r>
    </w:p>
    <w:p>
      <w:pPr>
        <w:overflowPunct w:val="0"/>
        <w:adjustRightInd/>
        <w:spacing w:line="240" w:lineRule="auto"/>
        <w:ind w:firstLine="632" w:firstLineChars="200"/>
        <w:rPr>
          <w:color w:val="000000" w:themeColor="text1"/>
          <w:lang w:val="en-US"/>
        </w:rPr>
      </w:pPr>
      <w:r>
        <w:rPr>
          <w:color w:val="000000" w:themeColor="text1"/>
          <w:lang w:val="en-US"/>
        </w:rPr>
        <w:t>2</w:t>
      </w:r>
      <w:r>
        <w:rPr>
          <w:rFonts w:hint="eastAsia"/>
          <w:color w:val="000000" w:themeColor="text1"/>
          <w:lang w:val="en-US"/>
        </w:rPr>
        <w:t>8．多措并举支持制造业引进外资，建立重大外商投资项目工作专班协调机制，加大对制造业重大外资项目要素保障力度，协调解决项目落地建设中的问题，推动早签约、早投产、早达产。</w:t>
      </w:r>
      <w:r>
        <w:rPr>
          <w:rFonts w:hint="eastAsia" w:eastAsia="方正楷体_GBK"/>
          <w:color w:val="000000" w:themeColor="text1"/>
          <w:lang w:val="en-US"/>
        </w:rPr>
        <w:t>（责任单位：市商务委、市发展改革委、市经济信息委、市招商投资局）</w:t>
      </w:r>
    </w:p>
    <w:p>
      <w:pPr>
        <w:overflowPunct w:val="0"/>
        <w:adjustRightInd/>
        <w:spacing w:line="240" w:lineRule="auto"/>
        <w:ind w:firstLine="632" w:firstLineChars="200"/>
        <w:rPr>
          <w:color w:val="000000" w:themeColor="text1"/>
          <w:lang w:val="en-US"/>
        </w:rPr>
      </w:pPr>
      <w:r>
        <w:rPr>
          <w:color w:val="000000" w:themeColor="text1"/>
          <w:lang w:val="en-US"/>
        </w:rPr>
        <w:t>2</w:t>
      </w:r>
      <w:r>
        <w:rPr>
          <w:rFonts w:hint="eastAsia"/>
          <w:color w:val="000000" w:themeColor="text1"/>
          <w:lang w:val="en-US"/>
        </w:rPr>
        <w:t>9．便利外籍人员及其家属来华。在国内重点高等院校获得本科以上学历的外国优秀留学生，毕业后在中国从事创新创业活动的，可凭高校毕业证书和创新创业等证明，申办有效期</w:t>
      </w:r>
      <w:r>
        <w:rPr>
          <w:color w:val="000000" w:themeColor="text1"/>
          <w:lang w:val="en-US"/>
        </w:rPr>
        <w:t>2</w:t>
      </w:r>
      <w:r>
        <w:rPr>
          <w:rFonts w:hint="eastAsia"/>
          <w:color w:val="000000" w:themeColor="text1"/>
          <w:lang w:val="en-US"/>
        </w:rPr>
        <w:t>至</w:t>
      </w:r>
      <w:r>
        <w:rPr>
          <w:color w:val="000000" w:themeColor="text1"/>
          <w:lang w:val="en-US"/>
        </w:rPr>
        <w:t>5</w:t>
      </w:r>
      <w:r>
        <w:rPr>
          <w:rFonts w:hint="eastAsia"/>
          <w:color w:val="000000" w:themeColor="text1"/>
          <w:lang w:val="en-US"/>
        </w:rPr>
        <w:t>年的居留许可；对已连续两次办理</w:t>
      </w:r>
      <w:r>
        <w:rPr>
          <w:color w:val="000000" w:themeColor="text1"/>
          <w:lang w:val="en-US"/>
        </w:rPr>
        <w:t>1</w:t>
      </w:r>
      <w:r>
        <w:rPr>
          <w:rFonts w:hint="eastAsia"/>
          <w:color w:val="000000" w:themeColor="text1"/>
          <w:lang w:val="en-US"/>
        </w:rPr>
        <w:t>年以上工作类居留许可且无违法违规行为的外国人，第三次申请工作类居留许可，可按规定申办有效期</w:t>
      </w:r>
      <w:r>
        <w:rPr>
          <w:color w:val="000000" w:themeColor="text1"/>
          <w:lang w:val="en-US"/>
        </w:rPr>
        <w:t>5</w:t>
      </w:r>
      <w:r>
        <w:rPr>
          <w:rFonts w:hint="eastAsia"/>
          <w:color w:val="000000" w:themeColor="text1"/>
          <w:lang w:val="en-US"/>
        </w:rPr>
        <w:t>年的工作类居留许可；对外籍人员及其家属办理来华工作许可的各类业务，实行全流程网办；针对外国高端人才设立“绿色通道”，实行急事急办、特事特办。</w:t>
      </w:r>
      <w:r>
        <w:rPr>
          <w:rFonts w:hint="eastAsia" w:eastAsia="方正楷体_GBK"/>
          <w:color w:val="000000" w:themeColor="text1"/>
          <w:lang w:val="en-US"/>
        </w:rPr>
        <w:t>（责任单位：市公安局、市科技局、市人力社保局）</w:t>
      </w:r>
    </w:p>
    <w:p>
      <w:pPr>
        <w:overflowPunct w:val="0"/>
        <w:adjustRightInd/>
        <w:spacing w:line="240" w:lineRule="auto"/>
        <w:ind w:firstLine="632" w:firstLineChars="200"/>
        <w:rPr>
          <w:color w:val="000000" w:themeColor="text1"/>
          <w:lang w:val="en-US"/>
        </w:rPr>
      </w:pPr>
      <w:r>
        <w:rPr>
          <w:rFonts w:hint="eastAsia"/>
          <w:color w:val="000000" w:themeColor="text1"/>
          <w:lang w:val="en-US"/>
        </w:rPr>
        <w:t>30．落实国家科技创新减免税政策，鼓励外资企业在渝设立研发中心，对符合我市引进科技创新资源行动计划支持要求的外资研发机构，可按规定给予资金支持。</w:t>
      </w:r>
      <w:r>
        <w:rPr>
          <w:rFonts w:hint="eastAsia" w:eastAsia="方正楷体_GBK"/>
          <w:color w:val="000000" w:themeColor="text1"/>
          <w:lang w:val="en-US"/>
        </w:rPr>
        <w:t>（责任单位：市科技局、市商务委）</w:t>
      </w:r>
    </w:p>
    <w:p>
      <w:pPr>
        <w:overflowPunct w:val="0"/>
        <w:adjustRightInd/>
        <w:spacing w:line="240" w:lineRule="auto"/>
        <w:ind w:firstLine="632" w:firstLineChars="200"/>
        <w:rPr>
          <w:color w:val="000000" w:themeColor="text1"/>
          <w:lang w:val="en-US"/>
        </w:rPr>
      </w:pPr>
      <w:r>
        <w:rPr>
          <w:rFonts w:hint="eastAsia"/>
          <w:color w:val="000000" w:themeColor="text1"/>
          <w:lang w:val="en-US"/>
        </w:rPr>
        <w:t>31．支持在渝外资制造业增资扩股、技术改造和强链补链，策划一批重点招商项目，引导外资更多投向高端制造领域；向国家争取外资鼓励条目，将我市更多特色主导产业纳入国家外资鼓励范围；全面落实外商投资法，清理外资准入负面清单之外的限制性措施，保障外资企业和内资企业同等适用各级政府出台的支持政策。</w:t>
      </w:r>
      <w:r>
        <w:rPr>
          <w:rFonts w:hint="eastAsia" w:eastAsia="方正楷体_GBK"/>
          <w:color w:val="000000" w:themeColor="text1"/>
          <w:lang w:val="en-US"/>
        </w:rPr>
        <w:t>（责任单位：市商务委、市发展改革委、市经济信息委、市招商投资局、市财政局）</w:t>
      </w:r>
    </w:p>
    <w:p>
      <w:pPr>
        <w:overflowPunct w:val="0"/>
        <w:adjustRightInd/>
        <w:spacing w:line="240" w:lineRule="auto"/>
        <w:ind w:firstLine="632" w:firstLineChars="200"/>
        <w:rPr>
          <w:rFonts w:eastAsia="方正黑体_GBK" w:cs="方正黑体_GBK"/>
          <w:color w:val="000000" w:themeColor="text1"/>
          <w:lang w:val="en-US"/>
        </w:rPr>
      </w:pPr>
      <w:r>
        <w:rPr>
          <w:rFonts w:hint="eastAsia" w:eastAsia="方正黑体_GBK" w:cs="宋体"/>
          <w:color w:val="000000" w:themeColor="text1"/>
          <w:lang w:val="en-US"/>
        </w:rPr>
        <w:t>五、关于用地、用能和环境政策</w:t>
      </w:r>
    </w:p>
    <w:p>
      <w:pPr>
        <w:overflowPunct w:val="0"/>
        <w:adjustRightInd/>
        <w:spacing w:line="240" w:lineRule="auto"/>
        <w:ind w:firstLine="632" w:firstLineChars="200"/>
        <w:rPr>
          <w:color w:val="000000" w:themeColor="text1"/>
          <w:lang w:val="en-US"/>
        </w:rPr>
      </w:pPr>
      <w:r>
        <w:rPr>
          <w:rFonts w:hint="eastAsia"/>
          <w:color w:val="000000" w:themeColor="text1"/>
          <w:lang w:val="en-US"/>
        </w:rPr>
        <w:t>32．保障纳入规划的重大项目土地供应，支持产业用地实行“标准地”出让，提高配置效率；建立“事先做评价、事前定标准、事中作承诺、事后强监管”的“标准地”出让程序及制度体系，出让改革试点范围扩大至主城都市区及万州区，各类工业开发区新增工业项目按标准地的出让比例不低于</w:t>
      </w:r>
      <w:r>
        <w:rPr>
          <w:color w:val="000000" w:themeColor="text1"/>
          <w:lang w:val="en-US"/>
        </w:rPr>
        <w:t>30%</w:t>
      </w:r>
      <w:r>
        <w:rPr>
          <w:rFonts w:hint="eastAsia"/>
          <w:color w:val="000000" w:themeColor="text1"/>
          <w:lang w:val="en-US"/>
        </w:rPr>
        <w:t>，至</w:t>
      </w:r>
      <w:r>
        <w:rPr>
          <w:color w:val="000000" w:themeColor="text1"/>
          <w:lang w:val="en-US"/>
        </w:rPr>
        <w:t>2025</w:t>
      </w:r>
      <w:r>
        <w:rPr>
          <w:rFonts w:hint="eastAsia"/>
          <w:color w:val="000000" w:themeColor="text1"/>
          <w:lang w:val="en-US"/>
        </w:rPr>
        <w:t>年全市所有开发区全面推行新增工业项目标准地出让。</w:t>
      </w:r>
      <w:r>
        <w:rPr>
          <w:rFonts w:hint="eastAsia" w:eastAsia="方正楷体_GBK"/>
          <w:color w:val="000000" w:themeColor="text1"/>
          <w:lang w:val="en-US"/>
        </w:rPr>
        <w:t>（责任单位：市规划自然资源局）</w:t>
      </w:r>
    </w:p>
    <w:p>
      <w:pPr>
        <w:overflowPunct w:val="0"/>
        <w:adjustRightInd/>
        <w:spacing w:line="240" w:lineRule="auto"/>
        <w:ind w:firstLine="632" w:firstLineChars="200"/>
        <w:rPr>
          <w:color w:val="000000" w:themeColor="text1"/>
          <w:lang w:val="en-US"/>
        </w:rPr>
      </w:pPr>
      <w:r>
        <w:rPr>
          <w:color w:val="000000" w:themeColor="text1"/>
          <w:lang w:val="en-US"/>
        </w:rPr>
        <w:t>3</w:t>
      </w:r>
      <w:r>
        <w:rPr>
          <w:rFonts w:hint="eastAsia"/>
          <w:color w:val="000000" w:themeColor="text1"/>
          <w:lang w:val="en-US"/>
        </w:rPr>
        <w:t>3．支持不同产业用地类型按程序合理转换，在土地出让或划拨前，工业用地（仓储用地）、科研用地和其他商务设施用地的规划用地性质可按规定相互转换，完善土地用途变更、整合、置换等政策；在中心城区推行新型产业用地（</w:t>
      </w:r>
      <w:r>
        <w:rPr>
          <w:color w:val="000000" w:themeColor="text1"/>
          <w:lang w:val="en-US"/>
        </w:rPr>
        <w:t>M0</w:t>
      </w:r>
      <w:r>
        <w:rPr>
          <w:rFonts w:hint="eastAsia"/>
          <w:color w:val="000000" w:themeColor="text1"/>
          <w:lang w:val="en-US"/>
        </w:rPr>
        <w:t>），融合研发、设计、检测、中试、新经济等创新性业态；规范土地二级市场管理，支持工业用地经整体转让、分割转让等方式对项目进行整合、置换。</w:t>
      </w:r>
      <w:r>
        <w:rPr>
          <w:rFonts w:hint="eastAsia" w:eastAsia="方正楷体_GBK"/>
          <w:color w:val="000000" w:themeColor="text1"/>
          <w:lang w:val="en-US"/>
        </w:rPr>
        <w:t>（责任单位：市规划自然资源局）</w:t>
      </w:r>
    </w:p>
    <w:p>
      <w:pPr>
        <w:overflowPunct w:val="0"/>
        <w:adjustRightInd/>
        <w:spacing w:line="240" w:lineRule="auto"/>
        <w:ind w:firstLine="632" w:firstLineChars="200"/>
        <w:rPr>
          <w:color w:val="000000" w:themeColor="text1"/>
          <w:lang w:val="en-US"/>
        </w:rPr>
      </w:pPr>
      <w:r>
        <w:rPr>
          <w:color w:val="000000" w:themeColor="text1"/>
          <w:lang w:val="en-US"/>
        </w:rPr>
        <w:t>3</w:t>
      </w:r>
      <w:r>
        <w:rPr>
          <w:rFonts w:hint="eastAsia"/>
          <w:color w:val="000000" w:themeColor="text1"/>
          <w:lang w:val="en-US"/>
        </w:rPr>
        <w:t>4．支持产业用地采取长期租赁、先租后让、租让结合、弹性年期出让方式供应；采用租赁和弹性年期出让方式供地的，可根据企业意愿和项目特点灵活设定租赁期限和出让年限。</w:t>
      </w:r>
      <w:r>
        <w:rPr>
          <w:rFonts w:hint="eastAsia" w:eastAsia="方正楷体_GBK"/>
          <w:color w:val="000000" w:themeColor="text1"/>
          <w:lang w:val="en-US"/>
        </w:rPr>
        <w:t>（责任单位：市规划自然资源局）</w:t>
      </w:r>
    </w:p>
    <w:p>
      <w:pPr>
        <w:overflowPunct w:val="0"/>
        <w:adjustRightInd/>
        <w:spacing w:line="240" w:lineRule="auto"/>
        <w:ind w:firstLine="632" w:firstLineChars="200"/>
        <w:rPr>
          <w:color w:val="000000" w:themeColor="text1"/>
          <w:lang w:val="en-US"/>
        </w:rPr>
      </w:pPr>
      <w:r>
        <w:rPr>
          <w:color w:val="000000" w:themeColor="text1"/>
          <w:lang w:val="en-US"/>
        </w:rPr>
        <w:t>3</w:t>
      </w:r>
      <w:r>
        <w:rPr>
          <w:rFonts w:hint="eastAsia"/>
          <w:color w:val="000000" w:themeColor="text1"/>
          <w:lang w:val="en-US"/>
        </w:rPr>
        <w:t>5．落实好新增可再生能源和原料用能消费不纳入能耗双控考核相关政策。“十四五”新增可再生能源电力消费对应的能耗量，统筹用于保障全市工业产业用能；“十四五”新增原料用能不纳入能耗双控考核，在新建项目开展节能审查时从项目能耗总量中扣除。</w:t>
      </w:r>
      <w:r>
        <w:rPr>
          <w:rFonts w:hint="eastAsia" w:eastAsia="方正楷体_GBK"/>
          <w:color w:val="000000" w:themeColor="text1"/>
          <w:lang w:val="en-US"/>
        </w:rPr>
        <w:t>（责任单位：市发展改革委、市经济信息委）</w:t>
      </w:r>
    </w:p>
    <w:p>
      <w:pPr>
        <w:overflowPunct w:val="0"/>
        <w:adjustRightInd/>
        <w:spacing w:line="240" w:lineRule="auto"/>
        <w:ind w:firstLine="632" w:firstLineChars="200"/>
        <w:rPr>
          <w:color w:val="000000" w:themeColor="text1"/>
          <w:lang w:val="en-US"/>
        </w:rPr>
      </w:pPr>
      <w:r>
        <w:rPr>
          <w:color w:val="000000" w:themeColor="text1"/>
          <w:lang w:val="en-US"/>
        </w:rPr>
        <w:t>3</w:t>
      </w:r>
      <w:r>
        <w:rPr>
          <w:rFonts w:hint="eastAsia"/>
          <w:color w:val="000000" w:themeColor="text1"/>
          <w:lang w:val="en-US"/>
        </w:rPr>
        <w:t>6．优化完善能耗双控考核政策，避免因能耗指标完成进度问题限制企业正常用能，各区县能耗强度下降目标在“十四五”规划期内统筹考核，能耗总量根据本地区经济增速目标和市级下达的“十四五”能耗强度下降目标测算确定，能耗双控年度目标由各区县在“十四五”规划期内合理安排。</w:t>
      </w:r>
      <w:r>
        <w:rPr>
          <w:rFonts w:hint="eastAsia" w:eastAsia="方正楷体_GBK"/>
          <w:color w:val="000000" w:themeColor="text1"/>
          <w:lang w:val="en-US"/>
        </w:rPr>
        <w:t>（责任单位：市发展改革委、市经济信息委）</w:t>
      </w:r>
    </w:p>
    <w:p>
      <w:pPr>
        <w:overflowPunct w:val="0"/>
        <w:adjustRightInd/>
        <w:spacing w:line="240" w:lineRule="auto"/>
        <w:ind w:firstLine="632" w:firstLineChars="200"/>
        <w:rPr>
          <w:color w:val="000000" w:themeColor="text1"/>
          <w:lang w:val="en-US"/>
        </w:rPr>
      </w:pPr>
      <w:r>
        <w:rPr>
          <w:color w:val="000000" w:themeColor="text1"/>
          <w:lang w:val="en-US"/>
        </w:rPr>
        <w:t>3</w:t>
      </w:r>
      <w:r>
        <w:rPr>
          <w:rFonts w:hint="eastAsia"/>
          <w:color w:val="000000" w:themeColor="text1"/>
          <w:lang w:val="en-US"/>
        </w:rPr>
        <w:t>7．完善高耗能、高排放项目能耗等量替代政策，能耗强度下降符合“十四五”目标进度要求且仍有用能空间的区县，新建能效达到行业标杆值的“两高”项目，履行项目节能审查手续时可使用增量指标进行能耗平衡。</w:t>
      </w:r>
      <w:r>
        <w:rPr>
          <w:rFonts w:hint="eastAsia" w:eastAsia="方正楷体_GBK"/>
          <w:color w:val="000000" w:themeColor="text1"/>
          <w:lang w:val="en-US"/>
        </w:rPr>
        <w:t>（责任单位：市发展改革委、市经济信息委）</w:t>
      </w:r>
    </w:p>
    <w:p>
      <w:pPr>
        <w:overflowPunct w:val="0"/>
        <w:adjustRightInd/>
        <w:spacing w:line="240" w:lineRule="auto"/>
        <w:ind w:firstLine="632" w:firstLineChars="200"/>
        <w:rPr>
          <w:color w:val="000000" w:themeColor="text1"/>
          <w:lang w:val="en-US"/>
        </w:rPr>
      </w:pPr>
      <w:r>
        <w:rPr>
          <w:color w:val="000000" w:themeColor="text1"/>
          <w:lang w:val="en-US"/>
        </w:rPr>
        <w:t>3</w:t>
      </w:r>
      <w:r>
        <w:rPr>
          <w:rFonts w:hint="eastAsia"/>
          <w:color w:val="000000" w:themeColor="text1"/>
          <w:lang w:val="en-US"/>
        </w:rPr>
        <w:t>8．落实好国家重大项目能耗单列政策，积极争取我市符合要求的项目纳入国家重大项目能耗单列，对纳入国家能耗单列的项目，加快办理节能审查手续。</w:t>
      </w:r>
      <w:r>
        <w:rPr>
          <w:rFonts w:hint="eastAsia" w:eastAsia="方正楷体_GBK"/>
          <w:color w:val="000000" w:themeColor="text1"/>
          <w:lang w:val="en-US"/>
        </w:rPr>
        <w:t>（责任单位：市发展改革委、市经济信息委）</w:t>
      </w:r>
    </w:p>
    <w:p>
      <w:pPr>
        <w:overflowPunct w:val="0"/>
        <w:adjustRightInd/>
        <w:spacing w:line="240" w:lineRule="auto"/>
        <w:ind w:firstLine="632" w:firstLineChars="200"/>
        <w:rPr>
          <w:color w:val="000000" w:themeColor="text1"/>
          <w:lang w:val="en-US"/>
        </w:rPr>
      </w:pPr>
      <w:r>
        <w:rPr>
          <w:color w:val="000000" w:themeColor="text1"/>
          <w:lang w:val="en-US"/>
        </w:rPr>
        <w:t>3</w:t>
      </w:r>
      <w:r>
        <w:rPr>
          <w:rFonts w:hint="eastAsia"/>
          <w:color w:val="000000" w:themeColor="text1"/>
          <w:lang w:val="en-US"/>
        </w:rPr>
        <w:t>9．修订我市重污染天气应急预案，按照国家绩效分级标准，精准实施重点行业涉气企业应急减排绩效分级动态管理，支持企业通过提标改造等措施提升绩效级别，减少或免于重污染天气应急减排期间的停限产；对大型风光电基地建设、节能降碳改造等重大项目，加快规划环评和项目环评进度，保障尽快开工建设。</w:t>
      </w:r>
      <w:r>
        <w:rPr>
          <w:rFonts w:hint="eastAsia" w:eastAsia="方正楷体_GBK"/>
          <w:color w:val="000000" w:themeColor="text1"/>
          <w:lang w:val="en-US"/>
        </w:rPr>
        <w:t>（责任单位：市生态环境局）</w:t>
      </w:r>
    </w:p>
    <w:p>
      <w:pPr>
        <w:overflowPunct w:val="0"/>
        <w:adjustRightInd/>
        <w:spacing w:line="240" w:lineRule="auto"/>
        <w:ind w:firstLine="632" w:firstLineChars="200"/>
        <w:rPr>
          <w:rFonts w:eastAsia="微软雅黑" w:cs="宋体"/>
          <w:color w:val="000000" w:themeColor="text1"/>
          <w:lang w:val="en-US"/>
        </w:rPr>
      </w:pPr>
      <w:r>
        <w:rPr>
          <w:rFonts w:hint="eastAsia" w:eastAsia="方正黑体_GBK" w:cs="宋体"/>
          <w:color w:val="000000" w:themeColor="text1"/>
          <w:lang w:val="en-US"/>
        </w:rPr>
        <w:t>六、保障措施</w:t>
      </w:r>
    </w:p>
    <w:p>
      <w:pPr>
        <w:overflowPunct w:val="0"/>
        <w:adjustRightInd/>
        <w:spacing w:line="240" w:lineRule="auto"/>
        <w:ind w:firstLine="632" w:firstLineChars="200"/>
        <w:rPr>
          <w:rFonts w:cs="宋体"/>
          <w:color w:val="000000" w:themeColor="text1"/>
          <w:lang w:val="en-US"/>
        </w:rPr>
      </w:pPr>
      <w:r>
        <w:rPr>
          <w:rFonts w:hint="eastAsia" w:cs="宋体"/>
          <w:color w:val="000000" w:themeColor="text1"/>
          <w:lang w:val="en-US"/>
        </w:rPr>
        <w:t>在重庆市制造强市建设领导小组的统筹协调下，市发展改革委、市经济信息委要做好各区县以及重点行业、园区、企业运行调度监测；督促相关政策执行落实，适时开展政策效果评估，做好应对政策研究储备。相关市级部门要各司其责，加强配合，积极推出相关落实举措，加强宣传解读，形成政策合力，帮助企业纾困发展。各区县要抓好政策宣传和贯彻落实，确保政策有效传导到企业主体，促进工业经济平稳增长。</w:t>
      </w:r>
      <w:r>
        <w:rPr>
          <w:rFonts w:hint="eastAsia" w:eastAsia="方正楷体_GBK"/>
          <w:color w:val="000000" w:themeColor="text1"/>
          <w:lang w:val="en-US"/>
        </w:rPr>
        <w:t>（责任单位：市级有关部门、各区县政府）</w:t>
      </w:r>
    </w:p>
    <w:p>
      <w:pPr>
        <w:overflowPunct w:val="0"/>
        <w:adjustRightInd/>
        <w:spacing w:line="240" w:lineRule="auto"/>
        <w:ind w:firstLine="632" w:firstLineChars="200"/>
        <w:rPr>
          <w:rFonts w:cs="方正仿宋_GBK"/>
          <w:color w:val="000000" w:themeColor="text1"/>
          <w:lang w:val="en-US"/>
        </w:rPr>
      </w:pPr>
      <w:r>
        <w:rPr>
          <w:rFonts w:hint="eastAsia" w:cs="宋体"/>
          <w:color w:val="000000" w:themeColor="text1"/>
          <w:lang w:val="en-US"/>
        </w:rPr>
        <w:t>市级有关部门、各区县要总结推广新冠肺炎疫情防控中稳定工业运行的有效做法和经验，科学精准做好疫情防控工作，保障重点产业园区、重点工业企业正常有序运行；针对国内疫情点状散发可能带来的人员流动受限、产业链供应链受阻等风险做好应对预案，及时协调解决困难问题，尽最大努力保障企业稳定生产。</w:t>
      </w:r>
      <w:r>
        <w:rPr>
          <w:rFonts w:hint="eastAsia" w:eastAsia="方正楷体_GBK"/>
          <w:color w:val="000000" w:themeColor="text1"/>
          <w:lang w:val="en-US"/>
        </w:rPr>
        <w:t>（责任单位：市级有关部门、各区县政府）</w:t>
      </w:r>
      <w:r>
        <w:rPr>
          <w:rFonts w:hint="eastAsia" w:cs="方正仿宋_GBK"/>
          <w:color w:val="000000" w:themeColor="text1"/>
          <w:sz w:val="28"/>
          <w:szCs w:val="28"/>
          <w:lang w:val="en-US"/>
        </w:rPr>
        <w:t xml:space="preserve"> </w:t>
      </w:r>
    </w:p>
    <w:bookmarkEnd w:id="1"/>
    <w:p>
      <w:pPr>
        <w:overflowPunct w:val="0"/>
        <w:adjustRightInd/>
        <w:spacing w:line="240" w:lineRule="auto"/>
        <w:rPr>
          <w:color w:val="000000" w:themeColor="text1"/>
          <w:lang w:val="en-US"/>
        </w:rPr>
        <w:sectPr>
          <w:headerReference r:id="rId3" w:type="first"/>
          <w:footerReference r:id="rId5" w:type="first"/>
          <w:footerReference r:id="rId4" w:type="default"/>
          <w:pgSz w:w="11906" w:h="16838"/>
          <w:pgMar w:top="2098" w:right="1531" w:bottom="1984" w:left="1531" w:header="851" w:footer="1417" w:gutter="0"/>
          <w:cols w:space="0" w:num="1"/>
          <w:titlePg/>
          <w:rtlGutter w:val="0"/>
          <w:docGrid w:type="linesAndChars" w:linePitch="579" w:charSpace="-849"/>
        </w:sectPr>
      </w:pPr>
    </w:p>
    <w:p>
      <w:pPr>
        <w:overflowPunct w:val="0"/>
        <w:adjustRightInd/>
        <w:spacing w:line="240" w:lineRule="auto"/>
        <w:rPr>
          <w:rFonts w:hint="eastAsia" w:eastAsia="方正仿宋_GBK"/>
          <w:color w:val="000000" w:themeColor="text1"/>
          <w:lang w:eastAsia="zh-CN"/>
        </w:rPr>
      </w:pPr>
      <w:r>
        <w:rPr>
          <w:rFonts w:hint="eastAsia"/>
          <w:color w:val="000000" w:themeColor="text1"/>
          <w:lang w:val="en-US" w:eastAsia="zh-CN" w:bidi="ar"/>
        </w:rPr>
        <w:t>c</w:t>
      </w:r>
    </w:p>
    <w:p>
      <w:pPr>
        <w:overflowPunct w:val="0"/>
        <w:adjustRightInd/>
        <w:spacing w:line="240" w:lineRule="auto"/>
        <w:rPr>
          <w:color w:val="000000" w:themeColor="text1"/>
        </w:rPr>
      </w:pPr>
    </w:p>
    <w:p>
      <w:pPr>
        <w:overflowPunct w:val="0"/>
        <w:adjustRightInd/>
        <w:spacing w:line="240" w:lineRule="auto"/>
        <w:rPr>
          <w:color w:val="000000" w:themeColor="text1"/>
        </w:rPr>
      </w:pPr>
    </w:p>
    <w:p>
      <w:pPr>
        <w:overflowPunct w:val="0"/>
        <w:adjustRightInd/>
        <w:spacing w:line="240" w:lineRule="auto"/>
        <w:rPr>
          <w:color w:val="000000" w:themeColor="text1"/>
        </w:rPr>
      </w:pPr>
    </w:p>
    <w:p>
      <w:pPr>
        <w:overflowPunct w:val="0"/>
        <w:adjustRightInd/>
        <w:spacing w:line="240" w:lineRule="auto"/>
        <w:rPr>
          <w:color w:val="000000" w:themeColor="text1"/>
        </w:rPr>
      </w:pPr>
    </w:p>
    <w:p>
      <w:pPr>
        <w:overflowPunct w:val="0"/>
        <w:adjustRightInd/>
        <w:spacing w:line="240" w:lineRule="auto"/>
        <w:rPr>
          <w:color w:val="000000" w:themeColor="text1"/>
        </w:rPr>
      </w:pPr>
    </w:p>
    <w:p>
      <w:pPr>
        <w:overflowPunct w:val="0"/>
        <w:adjustRightInd/>
        <w:spacing w:line="240" w:lineRule="auto"/>
        <w:rPr>
          <w:color w:val="000000" w:themeColor="text1"/>
        </w:rPr>
      </w:pPr>
    </w:p>
    <w:p>
      <w:pPr>
        <w:overflowPunct w:val="0"/>
        <w:adjustRightInd/>
        <w:spacing w:line="240" w:lineRule="auto"/>
        <w:rPr>
          <w:color w:val="000000" w:themeColor="text1"/>
        </w:rPr>
      </w:pPr>
    </w:p>
    <w:p>
      <w:pPr>
        <w:overflowPunct w:val="0"/>
        <w:adjustRightInd/>
        <w:spacing w:line="240" w:lineRule="auto"/>
        <w:rPr>
          <w:color w:val="000000" w:themeColor="text1"/>
        </w:rPr>
      </w:pPr>
    </w:p>
    <w:p>
      <w:pPr>
        <w:overflowPunct w:val="0"/>
        <w:adjustRightInd/>
        <w:spacing w:line="240" w:lineRule="auto"/>
        <w:rPr>
          <w:color w:val="000000" w:themeColor="text1"/>
        </w:rPr>
      </w:pPr>
    </w:p>
    <w:p>
      <w:pPr>
        <w:overflowPunct w:val="0"/>
        <w:adjustRightInd/>
        <w:spacing w:line="240" w:lineRule="auto"/>
        <w:rPr>
          <w:color w:val="000000" w:themeColor="text1"/>
        </w:rPr>
      </w:pPr>
    </w:p>
    <w:p>
      <w:pPr>
        <w:overflowPunct w:val="0"/>
        <w:adjustRightInd/>
        <w:spacing w:line="240" w:lineRule="auto"/>
        <w:rPr>
          <w:color w:val="000000" w:themeColor="text1"/>
        </w:rPr>
      </w:pPr>
    </w:p>
    <w:p>
      <w:pPr>
        <w:overflowPunct w:val="0"/>
        <w:adjustRightInd/>
        <w:spacing w:line="240" w:lineRule="auto"/>
        <w:rPr>
          <w:color w:val="000000" w:themeColor="text1"/>
        </w:rPr>
      </w:pPr>
    </w:p>
    <w:p>
      <w:pPr>
        <w:overflowPunct w:val="0"/>
        <w:adjustRightInd/>
        <w:spacing w:line="240" w:lineRule="auto"/>
        <w:rPr>
          <w:color w:val="000000" w:themeColor="text1"/>
        </w:rPr>
      </w:pPr>
    </w:p>
    <w:p>
      <w:pPr>
        <w:overflowPunct w:val="0"/>
        <w:adjustRightInd/>
        <w:spacing w:line="240" w:lineRule="auto"/>
        <w:rPr>
          <w:color w:val="000000" w:themeColor="text1"/>
        </w:rPr>
      </w:pPr>
    </w:p>
    <w:p>
      <w:pPr>
        <w:overflowPunct w:val="0"/>
        <w:adjustRightInd/>
        <w:spacing w:line="240" w:lineRule="auto"/>
        <w:rPr>
          <w:color w:val="000000" w:themeColor="text1"/>
        </w:rPr>
      </w:pPr>
    </w:p>
    <w:p>
      <w:pPr>
        <w:overflowPunct w:val="0"/>
        <w:adjustRightInd/>
        <w:spacing w:line="240" w:lineRule="auto"/>
        <w:rPr>
          <w:color w:val="000000" w:themeColor="text1"/>
        </w:rPr>
      </w:pPr>
    </w:p>
    <w:p>
      <w:pPr>
        <w:overflowPunct w:val="0"/>
        <w:adjustRightInd/>
        <w:spacing w:line="240" w:lineRule="auto"/>
        <w:rPr>
          <w:color w:val="000000" w:themeColor="text1"/>
        </w:rPr>
      </w:pPr>
    </w:p>
    <w:p>
      <w:pPr>
        <w:overflowPunct w:val="0"/>
        <w:adjustRightInd/>
        <w:spacing w:line="240" w:lineRule="auto"/>
        <w:rPr>
          <w:color w:val="000000" w:themeColor="text1"/>
        </w:rPr>
      </w:pPr>
    </w:p>
    <w:p>
      <w:pPr>
        <w:overflowPunct w:val="0"/>
        <w:adjustRightInd/>
        <w:spacing w:line="240" w:lineRule="auto"/>
        <w:rPr>
          <w:color w:val="000000" w:themeColor="text1"/>
        </w:rPr>
      </w:pPr>
    </w:p>
    <w:p>
      <w:pPr>
        <w:keepNext w:val="0"/>
        <w:keepLines w:val="0"/>
        <w:pageBreakBefore w:val="0"/>
        <w:widowControl w:val="0"/>
        <w:pBdr>
          <w:bottom w:val="none" w:color="auto" w:sz="0" w:space="0"/>
        </w:pBdr>
        <w:kinsoku/>
        <w:wordWrap/>
        <w:overflowPunct/>
        <w:topLinePunct w:val="0"/>
        <w:autoSpaceDE/>
        <w:autoSpaceDN/>
        <w:bidi w:val="0"/>
        <w:adjustRightInd w:val="0"/>
        <w:snapToGrid/>
        <w:spacing w:line="460" w:lineRule="exact"/>
        <w:jc w:val="left"/>
        <w:textAlignment w:val="baseline"/>
        <w:rPr>
          <w:rFonts w:hint="eastAsia"/>
          <w:color w:val="000000" w:themeColor="text1"/>
          <w:spacing w:val="0"/>
          <w:sz w:val="28"/>
          <w:szCs w:val="28"/>
        </w:rPr>
      </w:pPr>
    </w:p>
    <w:p>
      <w:pPr>
        <w:pBdr>
          <w:top w:val="single" w:color="auto" w:sz="12" w:space="0"/>
          <w:bottom w:val="single" w:color="auto" w:sz="12" w:space="0"/>
        </w:pBdr>
        <w:overflowPunct/>
        <w:spacing w:line="240" w:lineRule="auto"/>
        <w:jc w:val="left"/>
        <w:rPr>
          <w:color w:val="000000" w:themeColor="text1"/>
        </w:rPr>
      </w:pPr>
      <w:r>
        <w:rPr>
          <w:rFonts w:hint="eastAsia"/>
          <w:color w:val="000000" w:themeColor="text1"/>
          <w:spacing w:val="0"/>
          <w:sz w:val="28"/>
          <w:szCs w:val="28"/>
          <w:lang w:val="en-US" w:eastAsia="zh-CN"/>
        </w:rPr>
        <w:t xml:space="preserve">  </w:t>
      </w:r>
      <w:bookmarkStart w:id="2" w:name="_GoBack"/>
      <w:bookmarkEnd w:id="2"/>
    </w:p>
    <w:sectPr>
      <w:footerReference r:id="rId7" w:type="first"/>
      <w:footerReference r:id="rId6" w:type="default"/>
      <w:pgSz w:w="11906" w:h="16838"/>
      <w:pgMar w:top="2098" w:right="1531" w:bottom="1984" w:left="1531" w:header="851" w:footer="1417" w:gutter="0"/>
      <w:cols w:space="0" w:num="1"/>
      <w:titlePg/>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方正仿宋_GBK"/>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51" o:spid="_x0000_s2051"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方正仿宋_GBK"/>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trackRevisions w:val="1"/>
  <w:documentProtection w:enforcement="0"/>
  <w:defaultTabStop w:val="425"/>
  <w:drawingGridHorizontalSpacing w:val="158"/>
  <w:drawingGridVerticalSpacing w:val="579"/>
  <w:displayHorizontalDrawingGridEvery w:val="0"/>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B"/>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466FA"/>
    <w:rsid w:val="00250A8A"/>
    <w:rsid w:val="0026530B"/>
    <w:rsid w:val="00266A87"/>
    <w:rsid w:val="00296D93"/>
    <w:rsid w:val="002B04C6"/>
    <w:rsid w:val="002D3B50"/>
    <w:rsid w:val="00301B6D"/>
    <w:rsid w:val="00392240"/>
    <w:rsid w:val="00396CAE"/>
    <w:rsid w:val="003B3891"/>
    <w:rsid w:val="003D5F25"/>
    <w:rsid w:val="003E4FE8"/>
    <w:rsid w:val="003E5084"/>
    <w:rsid w:val="003F450B"/>
    <w:rsid w:val="00413264"/>
    <w:rsid w:val="00432433"/>
    <w:rsid w:val="00434D79"/>
    <w:rsid w:val="00474C3A"/>
    <w:rsid w:val="00496D2E"/>
    <w:rsid w:val="00497F00"/>
    <w:rsid w:val="004A2FB3"/>
    <w:rsid w:val="004E0474"/>
    <w:rsid w:val="0050535E"/>
    <w:rsid w:val="005777F4"/>
    <w:rsid w:val="005C7EAE"/>
    <w:rsid w:val="005F3C4D"/>
    <w:rsid w:val="006042BD"/>
    <w:rsid w:val="006068C6"/>
    <w:rsid w:val="00615E22"/>
    <w:rsid w:val="006A30D0"/>
    <w:rsid w:val="006C0DE2"/>
    <w:rsid w:val="0072131F"/>
    <w:rsid w:val="00731C1B"/>
    <w:rsid w:val="00737083"/>
    <w:rsid w:val="00765BC9"/>
    <w:rsid w:val="007770A5"/>
    <w:rsid w:val="00794916"/>
    <w:rsid w:val="007F46CB"/>
    <w:rsid w:val="00800B8F"/>
    <w:rsid w:val="00815223"/>
    <w:rsid w:val="00831787"/>
    <w:rsid w:val="00850D3F"/>
    <w:rsid w:val="00853F77"/>
    <w:rsid w:val="00860A47"/>
    <w:rsid w:val="00891C35"/>
    <w:rsid w:val="008935D1"/>
    <w:rsid w:val="008B74C0"/>
    <w:rsid w:val="008F6151"/>
    <w:rsid w:val="009048D5"/>
    <w:rsid w:val="00904AFE"/>
    <w:rsid w:val="0092122C"/>
    <w:rsid w:val="009220DF"/>
    <w:rsid w:val="00965CCB"/>
    <w:rsid w:val="00972E17"/>
    <w:rsid w:val="00974193"/>
    <w:rsid w:val="009A5EB0"/>
    <w:rsid w:val="00A40C10"/>
    <w:rsid w:val="00A443C1"/>
    <w:rsid w:val="00A955CD"/>
    <w:rsid w:val="00AA3D4F"/>
    <w:rsid w:val="00B1777D"/>
    <w:rsid w:val="00B51CD6"/>
    <w:rsid w:val="00B73014"/>
    <w:rsid w:val="00B833D8"/>
    <w:rsid w:val="00BF0A53"/>
    <w:rsid w:val="00C464A8"/>
    <w:rsid w:val="00C6762A"/>
    <w:rsid w:val="00CD4D55"/>
    <w:rsid w:val="00D01740"/>
    <w:rsid w:val="00D7295A"/>
    <w:rsid w:val="00D878F1"/>
    <w:rsid w:val="00D902A8"/>
    <w:rsid w:val="00D97CFB"/>
    <w:rsid w:val="00DB38C2"/>
    <w:rsid w:val="00DD2B37"/>
    <w:rsid w:val="00DD4877"/>
    <w:rsid w:val="00E03841"/>
    <w:rsid w:val="00E7080E"/>
    <w:rsid w:val="00E73AC1"/>
    <w:rsid w:val="00E770E1"/>
    <w:rsid w:val="00E93235"/>
    <w:rsid w:val="00ED5B9D"/>
    <w:rsid w:val="00F14A44"/>
    <w:rsid w:val="00F63B69"/>
    <w:rsid w:val="00F63FF8"/>
    <w:rsid w:val="00FA4D84"/>
    <w:rsid w:val="00FA4DBD"/>
    <w:rsid w:val="01A06D82"/>
    <w:rsid w:val="01B25A4D"/>
    <w:rsid w:val="033A0007"/>
    <w:rsid w:val="03505C66"/>
    <w:rsid w:val="07DE0AAA"/>
    <w:rsid w:val="0BC22F33"/>
    <w:rsid w:val="0CF02DEE"/>
    <w:rsid w:val="12080E07"/>
    <w:rsid w:val="12C81AA5"/>
    <w:rsid w:val="1578613D"/>
    <w:rsid w:val="17415CFA"/>
    <w:rsid w:val="193D01E0"/>
    <w:rsid w:val="1D2027D0"/>
    <w:rsid w:val="1D4E12BA"/>
    <w:rsid w:val="1EF521FE"/>
    <w:rsid w:val="1F4C00ED"/>
    <w:rsid w:val="226117B6"/>
    <w:rsid w:val="23445D57"/>
    <w:rsid w:val="23570372"/>
    <w:rsid w:val="256B156C"/>
    <w:rsid w:val="25B27047"/>
    <w:rsid w:val="26D83835"/>
    <w:rsid w:val="270A0571"/>
    <w:rsid w:val="27DA57DC"/>
    <w:rsid w:val="27F5397D"/>
    <w:rsid w:val="2AFF29AF"/>
    <w:rsid w:val="2B17312E"/>
    <w:rsid w:val="2B246C05"/>
    <w:rsid w:val="2B6540BB"/>
    <w:rsid w:val="2B6F62D5"/>
    <w:rsid w:val="2B8704A8"/>
    <w:rsid w:val="30C82935"/>
    <w:rsid w:val="359D56FF"/>
    <w:rsid w:val="35EF5E14"/>
    <w:rsid w:val="35F73F0C"/>
    <w:rsid w:val="37083883"/>
    <w:rsid w:val="38146403"/>
    <w:rsid w:val="38B97D28"/>
    <w:rsid w:val="3A1F5203"/>
    <w:rsid w:val="3D584BA2"/>
    <w:rsid w:val="402E288B"/>
    <w:rsid w:val="417E794A"/>
    <w:rsid w:val="41D565BE"/>
    <w:rsid w:val="45E47B16"/>
    <w:rsid w:val="47651902"/>
    <w:rsid w:val="477B47A9"/>
    <w:rsid w:val="49DC4E4F"/>
    <w:rsid w:val="4A30398A"/>
    <w:rsid w:val="4A9F4CF0"/>
    <w:rsid w:val="4AC07792"/>
    <w:rsid w:val="4CE7092E"/>
    <w:rsid w:val="4E252DB9"/>
    <w:rsid w:val="4F30427B"/>
    <w:rsid w:val="5073301F"/>
    <w:rsid w:val="545424E6"/>
    <w:rsid w:val="54E47F11"/>
    <w:rsid w:val="55835057"/>
    <w:rsid w:val="57DB6B64"/>
    <w:rsid w:val="580C1940"/>
    <w:rsid w:val="5BC50A62"/>
    <w:rsid w:val="60050F24"/>
    <w:rsid w:val="61561366"/>
    <w:rsid w:val="61E86A4A"/>
    <w:rsid w:val="6383212C"/>
    <w:rsid w:val="63DB0645"/>
    <w:rsid w:val="65E0558A"/>
    <w:rsid w:val="68E8683A"/>
    <w:rsid w:val="694D661D"/>
    <w:rsid w:val="696E3491"/>
    <w:rsid w:val="6A0B400D"/>
    <w:rsid w:val="6AFF5937"/>
    <w:rsid w:val="6C3D2854"/>
    <w:rsid w:val="6E163EDE"/>
    <w:rsid w:val="726C3FD1"/>
    <w:rsid w:val="73815F40"/>
    <w:rsid w:val="74AE2843"/>
    <w:rsid w:val="76B77724"/>
    <w:rsid w:val="778E1324"/>
    <w:rsid w:val="779F0AAE"/>
    <w:rsid w:val="7A424601"/>
    <w:rsid w:val="7A7973A8"/>
    <w:rsid w:val="7AB75865"/>
    <w:rsid w:val="7B0C0998"/>
    <w:rsid w:val="7BAA0A78"/>
    <w:rsid w:val="7C5031A0"/>
    <w:rsid w:val="7E707F48"/>
    <w:rsid w:val="7EFE1DAF"/>
    <w:rsid w:val="7FBF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6">
    <w:name w:val="Default Paragraph Font"/>
    <w:unhideWhenUsed/>
    <w:qFormat/>
    <w:uiPriority w:val="1"/>
  </w:style>
  <w:style w:type="table" w:default="1" w:styleId="8">
    <w:name w:val="Normal Table"/>
    <w:unhideWhenUsed/>
    <w:uiPriority w:val="99"/>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rPr>
      <w:szCs w:val="20"/>
    </w:rPr>
  </w:style>
  <w:style w:type="paragraph" w:styleId="3">
    <w:name w:val="Balloon Text"/>
    <w:basedOn w:val="1"/>
    <w:semiHidden/>
    <w:qFormat/>
    <w:uiPriority w:val="0"/>
    <w:rPr>
      <w:sz w:val="18"/>
      <w:szCs w:val="18"/>
    </w:rPr>
  </w:style>
  <w:style w:type="paragraph" w:styleId="4">
    <w:name w:val="footer"/>
    <w:basedOn w:val="1"/>
    <w:link w:val="9"/>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7">
    <w:name w:val="page number"/>
    <w:basedOn w:val="6"/>
    <w:qFormat/>
    <w:uiPriority w:val="0"/>
  </w:style>
  <w:style w:type="character" w:customStyle="1" w:styleId="9">
    <w:name w:val="页脚 Char"/>
    <w:link w:val="4"/>
    <w:qFormat/>
    <w:uiPriority w:val="99"/>
    <w:rPr>
      <w:rFonts w:eastAsia="方正仿宋_GBK"/>
      <w:sz w:val="18"/>
      <w:szCs w:val="18"/>
    </w:rPr>
  </w:style>
  <w:style w:type="character" w:customStyle="1" w:styleId="10">
    <w:name w:val="页眉 Char"/>
    <w:link w:val="5"/>
    <w:qFormat/>
    <w:uiPriority w:val="0"/>
    <w:rPr>
      <w:rFonts w:eastAsia="方正仿宋_GBK"/>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CF120-1A54-4E30-ABFF-98F445A6C9F8}">
  <ds:schemaRefs/>
</ds:datastoreItem>
</file>

<file path=docProps/app.xml><?xml version="1.0" encoding="utf-8"?>
<Properties xmlns="http://schemas.openxmlformats.org/officeDocument/2006/extended-properties" xmlns:vt="http://schemas.openxmlformats.org/officeDocument/2006/docPropsVTypes">
  <Template>Normal</Template>
  <Company>jw</Company>
  <Pages>1</Pages>
  <Words>5</Words>
  <Characters>32</Characters>
  <Lines>1</Lines>
  <Paragraphs>1</Paragraphs>
  <TotalTime>35</TotalTime>
  <ScaleCrop>false</ScaleCrop>
  <LinksUpToDate>false</LinksUpToDate>
  <CharactersWithSpaces>36</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周卒</cp:lastModifiedBy>
  <cp:lastPrinted>2022-03-31T08:41:00Z</cp:lastPrinted>
  <dcterms:modified xsi:type="dcterms:W3CDTF">2022-03-31T09:57:25Z</dcterms:modified>
  <dc:title>重庆市计委关于巫山县小小三峡手扒岩至平河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